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rPr>
          <w:rFonts w:hint="eastAsia" w:ascii="仿宋_GB2312" w:eastAsia="仿宋_GB2312"/>
          <w:sz w:val="32"/>
        </w:rPr>
      </w:pPr>
    </w:p>
    <w:p>
      <w:pPr>
        <w:keepNext w:val="0"/>
        <w:keepLines w:val="0"/>
        <w:pageBreakBefore w:val="0"/>
        <w:kinsoku/>
        <w:wordWrap/>
        <w:overflowPunct/>
        <w:topLinePunct w:val="0"/>
        <w:autoSpaceDE/>
        <w:autoSpaceDN/>
        <w:bidi w:val="0"/>
        <w:spacing w:line="570" w:lineRule="exact"/>
        <w:rPr>
          <w:rFonts w:hint="eastAsia" w:ascii="宋体"/>
          <w:sz w:val="28"/>
        </w:rPr>
      </w:pPr>
    </w:p>
    <w:p>
      <w:pPr>
        <w:pStyle w:val="6"/>
        <w:keepNext w:val="0"/>
        <w:keepLines w:val="0"/>
        <w:pageBreakBefore w:val="0"/>
        <w:widowControl/>
        <w:kinsoku/>
        <w:wordWrap/>
        <w:overflowPunct/>
        <w:topLinePunct w:val="0"/>
        <w:autoSpaceDE/>
        <w:autoSpaceDN/>
        <w:bidi w:val="0"/>
        <w:spacing w:before="0" w:beforeAutospacing="0" w:after="0" w:afterAutospacing="0"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重庆市交通局关于</w:t>
      </w:r>
    </w:p>
    <w:p>
      <w:pPr>
        <w:pStyle w:val="6"/>
        <w:keepNext w:val="0"/>
        <w:keepLines w:val="0"/>
        <w:pageBreakBefore w:val="0"/>
        <w:widowControl/>
        <w:kinsoku/>
        <w:wordWrap/>
        <w:overflowPunct/>
        <w:topLinePunct w:val="0"/>
        <w:autoSpaceDE/>
        <w:autoSpaceDN/>
        <w:bidi w:val="0"/>
        <w:spacing w:before="0" w:beforeAutospacing="0" w:after="0" w:afterAutospacing="0"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印发《重庆市机动车维修企业服务质量等级和星级评定办</w:t>
      </w:r>
      <w:bookmarkStart w:id="0" w:name="_GoBack"/>
      <w:bookmarkEnd w:id="0"/>
      <w:r>
        <w:rPr>
          <w:rFonts w:hint="eastAsia" w:ascii="方正小标宋_GBK" w:hAnsi="方正小标宋_GBK" w:eastAsia="方正小标宋_GBK" w:cs="方正小标宋_GBK"/>
          <w:sz w:val="44"/>
          <w:szCs w:val="44"/>
        </w:rPr>
        <w:t>法》的通知</w:t>
      </w:r>
    </w:p>
    <w:p>
      <w:pPr>
        <w:pStyle w:val="6"/>
        <w:keepNext w:val="0"/>
        <w:keepLines w:val="0"/>
        <w:pageBreakBefore w:val="0"/>
        <w:widowControl/>
        <w:kinsoku/>
        <w:wordWrap/>
        <w:overflowPunct/>
        <w:topLinePunct w:val="0"/>
        <w:autoSpaceDE/>
        <w:autoSpaceDN/>
        <w:bidi w:val="0"/>
        <w:spacing w:before="0" w:beforeAutospacing="0" w:after="0" w:afterAutospacing="0" w:line="570" w:lineRule="exact"/>
        <w:jc w:val="center"/>
        <w:rPr>
          <w:rFonts w:hint="eastAsia" w:ascii="方正仿宋_GBK" w:eastAsia="方正仿宋_GBK"/>
          <w:color w:val="000000"/>
          <w:sz w:val="32"/>
        </w:rPr>
      </w:pPr>
      <w:r>
        <w:rPr>
          <w:rFonts w:hint="eastAsia" w:ascii="方正仿宋_GBK" w:eastAsia="方正仿宋_GBK"/>
          <w:color w:val="000000"/>
          <w:sz w:val="32"/>
        </w:rPr>
        <w:t>渝交规〔2022〕10号</w:t>
      </w:r>
    </w:p>
    <w:p>
      <w:pPr>
        <w:pStyle w:val="6"/>
        <w:keepNext w:val="0"/>
        <w:keepLines w:val="0"/>
        <w:pageBreakBefore w:val="0"/>
        <w:widowControl/>
        <w:kinsoku/>
        <w:wordWrap/>
        <w:overflowPunct/>
        <w:topLinePunct w:val="0"/>
        <w:autoSpaceDE/>
        <w:autoSpaceDN/>
        <w:bidi w:val="0"/>
        <w:spacing w:before="0" w:beforeAutospacing="0" w:after="0" w:afterAutospacing="0" w:line="570" w:lineRule="exact"/>
        <w:jc w:val="both"/>
        <w:rPr>
          <w:rFonts w:hint="eastAsia" w:ascii="方正仿宋_GBK" w:eastAsia="方正仿宋_GBK"/>
          <w:color w:val="000000"/>
          <w:sz w:val="32"/>
        </w:rPr>
      </w:pPr>
    </w:p>
    <w:p>
      <w:pPr>
        <w:keepNext w:val="0"/>
        <w:keepLines w:val="0"/>
        <w:pageBreakBefore w:val="0"/>
        <w:kinsoku/>
        <w:wordWrap/>
        <w:overflowPunct/>
        <w:topLinePunct w:val="0"/>
        <w:autoSpaceDE/>
        <w:autoSpaceDN/>
        <w:bidi w:val="0"/>
        <w:spacing w:line="57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各区县（自治县）交通局，两江新区城市管理局、</w:t>
      </w:r>
      <w:r>
        <w:rPr>
          <w:rFonts w:hint="eastAsia" w:ascii="方正仿宋_GBK" w:hAnsi="方正仿宋_GBK" w:eastAsia="方正仿宋_GBK" w:cs="方正仿宋_GBK"/>
          <w:kern w:val="0"/>
          <w:sz w:val="32"/>
          <w:szCs w:val="32"/>
        </w:rPr>
        <w:t>高新区城市建设事务中心</w:t>
      </w:r>
      <w:r>
        <w:rPr>
          <w:rFonts w:hint="eastAsia" w:ascii="方正仿宋_GBK" w:hAnsi="方正仿宋_GBK" w:eastAsia="方正仿宋_GBK" w:cs="方正仿宋_GBK"/>
          <w:sz w:val="32"/>
          <w:szCs w:val="32"/>
        </w:rPr>
        <w:t>、万盛经开区交通局，有关企业：</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sz w:val="32"/>
          <w:szCs w:val="32"/>
        </w:rPr>
      </w:pPr>
      <w:r>
        <w:rPr>
          <w:rFonts w:eastAsia="方正仿宋_GBK"/>
          <w:sz w:val="32"/>
          <w:szCs w:val="32"/>
        </w:rPr>
        <w:t>为加强机动车维修行业事中事后监管，引导和促进全市机动车维修企业依法经营、诚实守信、公平竞争、优质服务，发挥</w:t>
      </w:r>
      <w:r>
        <w:rPr>
          <w:rFonts w:hint="eastAsia" w:eastAsia="方正仿宋_GBK"/>
          <w:sz w:val="32"/>
          <w:szCs w:val="32"/>
        </w:rPr>
        <w:t>先进典型</w:t>
      </w:r>
      <w:r>
        <w:rPr>
          <w:rFonts w:eastAsia="方正仿宋_GBK"/>
          <w:sz w:val="32"/>
          <w:szCs w:val="32"/>
        </w:rPr>
        <w:t>在行业的示范引领作用，提高维修企业服务能力和</w:t>
      </w:r>
      <w:r>
        <w:rPr>
          <w:rFonts w:hint="eastAsia" w:eastAsia="方正仿宋_GBK"/>
          <w:sz w:val="32"/>
          <w:szCs w:val="32"/>
        </w:rPr>
        <w:t>服务品质</w:t>
      </w:r>
      <w:r>
        <w:rPr>
          <w:rFonts w:eastAsia="方正仿宋_GBK"/>
          <w:sz w:val="32"/>
          <w:szCs w:val="32"/>
        </w:rPr>
        <w:t>，</w:t>
      </w:r>
      <w:r>
        <w:rPr>
          <w:rFonts w:hint="eastAsia" w:eastAsia="方正仿宋_GBK"/>
          <w:bCs/>
          <w:color w:val="000000"/>
          <w:sz w:val="32"/>
          <w:szCs w:val="32"/>
        </w:rPr>
        <w:t>实现诚信、透明、放心修车，切实维护消费者合法权益，</w:t>
      </w:r>
      <w:r>
        <w:rPr>
          <w:rFonts w:eastAsia="方正仿宋_GBK"/>
          <w:sz w:val="32"/>
          <w:szCs w:val="32"/>
          <w:lang w:val="en"/>
        </w:rPr>
        <w:t>我局</w:t>
      </w:r>
      <w:r>
        <w:rPr>
          <w:rFonts w:hint="eastAsia" w:eastAsia="方正仿宋_GBK"/>
          <w:sz w:val="32"/>
          <w:szCs w:val="32"/>
        </w:rPr>
        <w:t>制定了《</w:t>
      </w:r>
      <w:r>
        <w:rPr>
          <w:rFonts w:eastAsia="方正仿宋_GBK"/>
          <w:sz w:val="32"/>
          <w:szCs w:val="32"/>
        </w:rPr>
        <w:t>重庆市机动车维修企业服务质量等级和星级评定办法</w:t>
      </w:r>
      <w:r>
        <w:rPr>
          <w:rFonts w:hint="eastAsia" w:eastAsia="方正仿宋_GBK"/>
          <w:sz w:val="32"/>
          <w:szCs w:val="32"/>
        </w:rPr>
        <w:t>》，现印发给你们，请认真贯彻执行。</w:t>
      </w:r>
    </w:p>
    <w:p>
      <w:pPr>
        <w:keepNext w:val="0"/>
        <w:keepLines w:val="0"/>
        <w:pageBreakBefore w:val="0"/>
        <w:kinsoku/>
        <w:wordWrap/>
        <w:overflowPunct/>
        <w:topLinePunct w:val="0"/>
        <w:autoSpaceDE/>
        <w:autoSpaceDN/>
        <w:bidi w:val="0"/>
        <w:spacing w:line="570" w:lineRule="exact"/>
        <w:rPr>
          <w:rFonts w:hint="eastAsia" w:eastAsia="方正仿宋_GBK"/>
          <w:sz w:val="32"/>
          <w:szCs w:val="32"/>
        </w:rPr>
      </w:pPr>
    </w:p>
    <w:p>
      <w:pPr>
        <w:keepNext w:val="0"/>
        <w:keepLines w:val="0"/>
        <w:pageBreakBefore w:val="0"/>
        <w:kinsoku/>
        <w:wordWrap w:val="0"/>
        <w:overflowPunct/>
        <w:topLinePunct w:val="0"/>
        <w:autoSpaceDE/>
        <w:autoSpaceDN/>
        <w:bidi w:val="0"/>
        <w:spacing w:line="570" w:lineRule="exact"/>
        <w:ind w:firstLine="640" w:firstLineChars="200"/>
        <w:jc w:val="right"/>
        <w:rPr>
          <w:rFonts w:hint="default" w:eastAsia="方正仿宋_GBK"/>
          <w:sz w:val="32"/>
          <w:szCs w:val="32"/>
          <w:lang w:val="en-US" w:eastAsia="zh-CN"/>
        </w:rPr>
      </w:pPr>
      <w:r>
        <w:rPr>
          <w:rFonts w:hint="eastAsia" w:eastAsia="方正仿宋_GBK"/>
          <w:sz w:val="32"/>
          <w:szCs w:val="32"/>
        </w:rPr>
        <w:t xml:space="preserve">                            重庆市交通局</w:t>
      </w:r>
      <w:r>
        <w:rPr>
          <w:rFonts w:hint="eastAsia" w:eastAsia="方正仿宋_GBK"/>
          <w:sz w:val="32"/>
          <w:szCs w:val="32"/>
          <w:lang w:val="en-US" w:eastAsia="zh-CN"/>
        </w:rPr>
        <w:t xml:space="preserve">    </w:t>
      </w:r>
    </w:p>
    <w:p>
      <w:pPr>
        <w:keepNext w:val="0"/>
        <w:keepLines w:val="0"/>
        <w:pageBreakBefore w:val="0"/>
        <w:kinsoku/>
        <w:wordWrap w:val="0"/>
        <w:overflowPunct/>
        <w:topLinePunct w:val="0"/>
        <w:autoSpaceDE/>
        <w:autoSpaceDN/>
        <w:bidi w:val="0"/>
        <w:spacing w:line="570" w:lineRule="exact"/>
        <w:ind w:firstLine="640" w:firstLineChars="200"/>
        <w:jc w:val="right"/>
        <w:rPr>
          <w:rFonts w:hint="default" w:eastAsia="方正仿宋_GBK"/>
          <w:sz w:val="32"/>
          <w:szCs w:val="32"/>
          <w:lang w:val="en-US" w:eastAsia="zh-CN"/>
        </w:rPr>
      </w:pPr>
      <w:r>
        <w:rPr>
          <w:rFonts w:hint="eastAsia" w:eastAsia="方正仿宋_GBK"/>
          <w:sz w:val="32"/>
          <w:szCs w:val="32"/>
        </w:rPr>
        <w:t xml:space="preserve">                           2022年9月</w:t>
      </w:r>
      <w:r>
        <w:rPr>
          <w:rFonts w:hint="eastAsia" w:eastAsia="方正仿宋_GBK"/>
          <w:sz w:val="32"/>
          <w:szCs w:val="32"/>
          <w:lang w:val="en-US" w:eastAsia="zh-CN"/>
        </w:rPr>
        <w:t>30</w:t>
      </w:r>
      <w:r>
        <w:rPr>
          <w:rFonts w:hint="eastAsia" w:eastAsia="方正仿宋_GBK"/>
          <w:sz w:val="32"/>
          <w:szCs w:val="32"/>
        </w:rPr>
        <w:t>日</w:t>
      </w:r>
      <w:r>
        <w:rPr>
          <w:rFonts w:hint="eastAsia" w:eastAsia="方正仿宋_GBK"/>
          <w:sz w:val="32"/>
          <w:szCs w:val="32"/>
          <w:lang w:val="en-US" w:eastAsia="zh-CN"/>
        </w:rPr>
        <w:t xml:space="preserve">  </w:t>
      </w:r>
    </w:p>
    <w:p>
      <w:pPr>
        <w:keepNext w:val="0"/>
        <w:keepLines w:val="0"/>
        <w:pageBreakBefore w:val="0"/>
        <w:kinsoku/>
        <w:wordWrap/>
        <w:overflowPunct/>
        <w:topLinePunct w:val="0"/>
        <w:autoSpaceDE/>
        <w:autoSpaceDN/>
        <w:bidi w:val="0"/>
        <w:spacing w:line="570" w:lineRule="exact"/>
        <w:rPr>
          <w:rFonts w:hint="eastAsia" w:eastAsia="方正仿宋_GBK"/>
          <w:sz w:val="32"/>
          <w:szCs w:val="32"/>
        </w:rPr>
      </w:pPr>
      <w:r>
        <w:rPr>
          <w:rFonts w:hint="eastAsia" w:eastAsia="方正仿宋_GBK"/>
          <w:sz w:val="32"/>
          <w:szCs w:val="32"/>
        </w:rPr>
        <w:t xml:space="preserve">    （此文件公开发布）</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sz w:val="32"/>
          <w:szCs w:val="32"/>
        </w:rPr>
      </w:pP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sz w:val="32"/>
          <w:szCs w:val="32"/>
        </w:rPr>
      </w:pP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hint="eastAsia" w:ascii="Times New Roman" w:hAnsi="Times New Roman" w:eastAsia="方正小标宋_GBK"/>
          <w:bCs/>
          <w:snapToGrid w:val="0"/>
          <w:color w:val="000000"/>
          <w:sz w:val="44"/>
          <w:szCs w:val="44"/>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ascii="Times New Roman" w:hAnsi="Times New Roman" w:eastAsia="方正小标宋_GBK"/>
          <w:bCs/>
          <w:snapToGrid w:val="0"/>
          <w:color w:val="000000"/>
          <w:sz w:val="44"/>
          <w:szCs w:val="44"/>
        </w:rPr>
      </w:pPr>
      <w:r>
        <w:rPr>
          <w:rFonts w:ascii="Times New Roman" w:hAnsi="Times New Roman" w:eastAsia="方正小标宋_GBK"/>
          <w:bCs/>
          <w:snapToGrid w:val="0"/>
          <w:color w:val="000000"/>
          <w:sz w:val="44"/>
          <w:szCs w:val="44"/>
        </w:rPr>
        <w:t>重庆市机动车维修企业</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ascii="Times New Roman" w:hAnsi="Times New Roman" w:eastAsia="方正小标宋_GBK"/>
          <w:bCs/>
          <w:snapToGrid w:val="0"/>
          <w:color w:val="000000"/>
          <w:sz w:val="44"/>
          <w:szCs w:val="44"/>
        </w:rPr>
      </w:pPr>
      <w:r>
        <w:rPr>
          <w:rFonts w:ascii="Times New Roman" w:hAnsi="Times New Roman" w:eastAsia="方正小标宋_GBK"/>
          <w:bCs/>
          <w:snapToGrid w:val="0"/>
          <w:color w:val="000000"/>
          <w:sz w:val="44"/>
          <w:szCs w:val="44"/>
        </w:rPr>
        <w:t>服务质量</w:t>
      </w:r>
      <w:r>
        <w:rPr>
          <w:rFonts w:hint="eastAsia" w:ascii="Times New Roman" w:hAnsi="Times New Roman" w:eastAsia="方正小标宋_GBK"/>
          <w:bCs/>
          <w:snapToGrid w:val="0"/>
          <w:color w:val="000000"/>
          <w:sz w:val="44"/>
          <w:szCs w:val="44"/>
        </w:rPr>
        <w:t>等级和星级</w:t>
      </w:r>
      <w:r>
        <w:rPr>
          <w:rFonts w:ascii="Times New Roman" w:hAnsi="Times New Roman" w:eastAsia="方正小标宋_GBK"/>
          <w:bCs/>
          <w:snapToGrid w:val="0"/>
          <w:color w:val="000000"/>
          <w:sz w:val="44"/>
          <w:szCs w:val="44"/>
        </w:rPr>
        <w:t>评定办法</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ascii="Times New Roman" w:hAnsi="Times New Roman" w:eastAsia="方正黑体_GBK"/>
          <w:bCs/>
          <w:snapToGrid w:val="0"/>
          <w:color w:val="00000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ascii="Times New Roman" w:hAnsi="Times New Roman" w:eastAsia="方正黑体_GBK"/>
          <w:bCs/>
          <w:snapToGrid w:val="0"/>
          <w:color w:val="000000"/>
          <w:sz w:val="32"/>
          <w:szCs w:val="32"/>
        </w:rPr>
      </w:pPr>
      <w:r>
        <w:rPr>
          <w:rFonts w:ascii="Times New Roman" w:hAnsi="Times New Roman" w:eastAsia="方正黑体_GBK"/>
          <w:bCs/>
          <w:snapToGrid w:val="0"/>
          <w:color w:val="000000"/>
          <w:sz w:val="32"/>
          <w:szCs w:val="32"/>
        </w:rPr>
        <w:t>第一章</w:t>
      </w:r>
      <w:r>
        <w:rPr>
          <w:rFonts w:hint="eastAsia" w:ascii="Times New Roman" w:hAnsi="Times New Roman" w:eastAsia="方正黑体_GBK"/>
          <w:bCs/>
          <w:snapToGrid w:val="0"/>
          <w:color w:val="000000"/>
          <w:sz w:val="32"/>
          <w:szCs w:val="32"/>
        </w:rPr>
        <w:t xml:space="preserve">  </w:t>
      </w:r>
      <w:r>
        <w:rPr>
          <w:rFonts w:ascii="Times New Roman" w:hAnsi="Times New Roman" w:eastAsia="方正黑体_GBK"/>
          <w:bCs/>
          <w:snapToGrid w:val="0"/>
          <w:color w:val="000000"/>
          <w:sz w:val="32"/>
          <w:szCs w:val="32"/>
        </w:rPr>
        <w:t>总　则</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 xml:space="preserve">第一条  </w:t>
      </w:r>
      <w:r>
        <w:rPr>
          <w:rFonts w:eastAsia="方正仿宋_GBK"/>
          <w:bCs/>
          <w:color w:val="000000"/>
          <w:sz w:val="32"/>
          <w:szCs w:val="32"/>
        </w:rPr>
        <w:t>为</w:t>
      </w:r>
      <w:r>
        <w:rPr>
          <w:rFonts w:hint="eastAsia" w:eastAsia="方正仿宋_GBK"/>
          <w:bCs/>
          <w:color w:val="000000"/>
          <w:sz w:val="32"/>
          <w:szCs w:val="32"/>
        </w:rPr>
        <w:t>了</w:t>
      </w:r>
      <w:r>
        <w:rPr>
          <w:rFonts w:eastAsia="方正仿宋_GBK"/>
          <w:bCs/>
          <w:color w:val="000000"/>
          <w:sz w:val="32"/>
          <w:szCs w:val="32"/>
        </w:rPr>
        <w:t>引导和促进机动车维修企业依法经营、诚实守信、公平竞争、优质服务</w:t>
      </w:r>
      <w:r>
        <w:rPr>
          <w:rFonts w:hint="eastAsia" w:eastAsia="方正仿宋_GBK"/>
          <w:bCs/>
          <w:color w:val="000000"/>
          <w:sz w:val="32"/>
          <w:szCs w:val="32"/>
        </w:rPr>
        <w:t>，</w:t>
      </w:r>
      <w:r>
        <w:rPr>
          <w:rFonts w:eastAsia="方正仿宋_GBK"/>
          <w:bCs/>
          <w:color w:val="000000"/>
          <w:sz w:val="32"/>
          <w:szCs w:val="32"/>
        </w:rPr>
        <w:t>建立完善优胜劣汰的市场机制，发挥</w:t>
      </w:r>
      <w:r>
        <w:rPr>
          <w:rFonts w:hint="eastAsia" w:eastAsia="方正仿宋_GBK"/>
          <w:bCs/>
          <w:color w:val="000000"/>
          <w:sz w:val="32"/>
          <w:szCs w:val="32"/>
        </w:rPr>
        <w:t>先进典型在</w:t>
      </w:r>
      <w:r>
        <w:rPr>
          <w:rFonts w:eastAsia="方正仿宋_GBK"/>
          <w:bCs/>
          <w:color w:val="000000"/>
          <w:sz w:val="32"/>
          <w:szCs w:val="32"/>
        </w:rPr>
        <w:t>行业的示范</w:t>
      </w:r>
      <w:r>
        <w:rPr>
          <w:rFonts w:hint="eastAsia" w:eastAsia="方正仿宋_GBK"/>
          <w:bCs/>
          <w:color w:val="000000"/>
          <w:sz w:val="32"/>
          <w:szCs w:val="32"/>
        </w:rPr>
        <w:t>引领</w:t>
      </w:r>
      <w:r>
        <w:rPr>
          <w:rFonts w:eastAsia="方正仿宋_GBK"/>
          <w:bCs/>
          <w:color w:val="000000"/>
          <w:sz w:val="32"/>
          <w:szCs w:val="32"/>
        </w:rPr>
        <w:t>作用，提</w:t>
      </w:r>
      <w:r>
        <w:rPr>
          <w:rFonts w:hint="eastAsia" w:eastAsia="方正仿宋_GBK"/>
          <w:bCs/>
          <w:color w:val="000000"/>
          <w:sz w:val="32"/>
          <w:szCs w:val="32"/>
        </w:rPr>
        <w:t>高</w:t>
      </w:r>
      <w:r>
        <w:rPr>
          <w:rFonts w:eastAsia="方正仿宋_GBK"/>
          <w:bCs/>
          <w:color w:val="000000"/>
          <w:sz w:val="32"/>
          <w:szCs w:val="32"/>
        </w:rPr>
        <w:t>机动车维修</w:t>
      </w:r>
      <w:r>
        <w:rPr>
          <w:rFonts w:hint="eastAsia" w:eastAsia="方正仿宋_GBK"/>
          <w:bCs/>
          <w:color w:val="000000"/>
          <w:sz w:val="32"/>
          <w:szCs w:val="32"/>
        </w:rPr>
        <w:t>企业服务</w:t>
      </w:r>
      <w:r>
        <w:rPr>
          <w:rFonts w:eastAsia="方正仿宋_GBK"/>
          <w:bCs/>
          <w:color w:val="000000"/>
          <w:sz w:val="32"/>
          <w:szCs w:val="32"/>
        </w:rPr>
        <w:t>能力</w:t>
      </w:r>
      <w:r>
        <w:rPr>
          <w:rFonts w:hint="eastAsia" w:eastAsia="方正仿宋_GBK"/>
          <w:bCs/>
          <w:color w:val="000000"/>
          <w:sz w:val="32"/>
          <w:szCs w:val="32"/>
        </w:rPr>
        <w:t>和服务品质</w:t>
      </w:r>
      <w:r>
        <w:rPr>
          <w:rFonts w:eastAsia="方正仿宋_GBK"/>
          <w:bCs/>
          <w:color w:val="000000"/>
          <w:sz w:val="32"/>
          <w:szCs w:val="32"/>
        </w:rPr>
        <w:t>，</w:t>
      </w:r>
      <w:r>
        <w:rPr>
          <w:rFonts w:hint="eastAsia" w:eastAsia="方正仿宋_GBK"/>
          <w:bCs/>
          <w:color w:val="000000"/>
          <w:sz w:val="32"/>
          <w:szCs w:val="32"/>
        </w:rPr>
        <w:t>促</w:t>
      </w:r>
      <w:r>
        <w:rPr>
          <w:rFonts w:eastAsia="方正仿宋_GBK"/>
          <w:bCs/>
          <w:color w:val="000000"/>
          <w:sz w:val="32"/>
          <w:szCs w:val="32"/>
        </w:rPr>
        <w:t>进我市机动车维修</w:t>
      </w:r>
      <w:r>
        <w:rPr>
          <w:rFonts w:hint="eastAsia" w:eastAsia="方正仿宋_GBK"/>
          <w:bCs/>
          <w:color w:val="000000"/>
          <w:sz w:val="32"/>
          <w:szCs w:val="32"/>
        </w:rPr>
        <w:t>行业</w:t>
      </w:r>
      <w:r>
        <w:rPr>
          <w:rFonts w:eastAsia="方正仿宋_GBK"/>
          <w:bCs/>
          <w:color w:val="000000"/>
          <w:sz w:val="32"/>
          <w:szCs w:val="32"/>
        </w:rPr>
        <w:t>转型升级和创新发展，</w:t>
      </w:r>
      <w:r>
        <w:rPr>
          <w:rFonts w:hint="eastAsia" w:eastAsia="方正仿宋_GBK"/>
          <w:bCs/>
          <w:color w:val="000000"/>
          <w:sz w:val="32"/>
          <w:szCs w:val="32"/>
        </w:rPr>
        <w:t>实现诚信、透明、放心修车，切实维护消费者合法权益，</w:t>
      </w:r>
      <w:r>
        <w:rPr>
          <w:rFonts w:eastAsia="方正仿宋_GBK"/>
          <w:bCs/>
          <w:color w:val="000000"/>
          <w:sz w:val="32"/>
          <w:szCs w:val="32"/>
        </w:rPr>
        <w:t>根据《重庆市道路运输管理条例》《机动车维修管理规定》（交通运输部令2021年第18号）、《机动车维修服务规范》（JT/T 816-2021）等</w:t>
      </w:r>
      <w:r>
        <w:rPr>
          <w:rFonts w:hint="eastAsia" w:eastAsia="方正仿宋_GBK"/>
          <w:bCs/>
          <w:color w:val="000000"/>
          <w:sz w:val="32"/>
          <w:szCs w:val="32"/>
        </w:rPr>
        <w:t>相关</w:t>
      </w:r>
      <w:r>
        <w:rPr>
          <w:rFonts w:eastAsia="方正仿宋_GBK"/>
          <w:bCs/>
          <w:color w:val="000000"/>
          <w:sz w:val="32"/>
          <w:szCs w:val="32"/>
        </w:rPr>
        <w:t>规定，结合我市行业实际，制定本办法。</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 xml:space="preserve">第二条 </w:t>
      </w:r>
      <w:r>
        <w:rPr>
          <w:rFonts w:hint="eastAsia" w:eastAsia="方正仿宋_GBK"/>
          <w:bCs/>
          <w:color w:val="000000"/>
          <w:sz w:val="32"/>
          <w:szCs w:val="32"/>
        </w:rPr>
        <w:t xml:space="preserve"> 本办法适用于全市备案的</w:t>
      </w:r>
      <w:r>
        <w:rPr>
          <w:rFonts w:eastAsia="方正仿宋_GBK"/>
          <w:bCs/>
          <w:color w:val="000000"/>
          <w:sz w:val="32"/>
          <w:szCs w:val="32"/>
        </w:rPr>
        <w:t>机动车</w:t>
      </w:r>
      <w:r>
        <w:rPr>
          <w:rFonts w:hint="eastAsia" w:eastAsia="方正仿宋_GBK"/>
          <w:bCs/>
          <w:color w:val="000000"/>
          <w:sz w:val="32"/>
          <w:szCs w:val="32"/>
        </w:rPr>
        <w:t>维修</w:t>
      </w:r>
      <w:r>
        <w:rPr>
          <w:rFonts w:eastAsia="方正仿宋_GBK"/>
          <w:bCs/>
          <w:color w:val="000000"/>
          <w:sz w:val="32"/>
          <w:szCs w:val="32"/>
        </w:rPr>
        <w:t>企业</w:t>
      </w:r>
      <w:r>
        <w:rPr>
          <w:rFonts w:hint="eastAsia" w:eastAsia="方正仿宋_GBK"/>
          <w:bCs/>
          <w:color w:val="000000"/>
          <w:sz w:val="32"/>
          <w:szCs w:val="32"/>
        </w:rPr>
        <w:t>的</w:t>
      </w:r>
      <w:r>
        <w:rPr>
          <w:rFonts w:eastAsia="方正仿宋_GBK"/>
          <w:bCs/>
          <w:color w:val="000000"/>
          <w:sz w:val="32"/>
          <w:szCs w:val="32"/>
        </w:rPr>
        <w:t>服务质量</w:t>
      </w:r>
      <w:r>
        <w:rPr>
          <w:rFonts w:hint="eastAsia" w:eastAsia="方正仿宋_GBK"/>
          <w:bCs/>
          <w:color w:val="000000"/>
          <w:sz w:val="32"/>
          <w:szCs w:val="32"/>
        </w:rPr>
        <w:t>等级和星级</w:t>
      </w:r>
      <w:r>
        <w:rPr>
          <w:rFonts w:eastAsia="方正仿宋_GBK"/>
          <w:bCs/>
          <w:color w:val="000000"/>
          <w:sz w:val="32"/>
          <w:szCs w:val="32"/>
        </w:rPr>
        <w:t>评定</w:t>
      </w:r>
      <w:r>
        <w:rPr>
          <w:rFonts w:hint="eastAsia" w:eastAsia="方正仿宋_GBK"/>
          <w:bCs/>
          <w:color w:val="000000"/>
          <w:sz w:val="32"/>
          <w:szCs w:val="32"/>
        </w:rPr>
        <w:t>工作</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eastAsia="方正仿宋_GBK"/>
          <w:bCs/>
          <w:color w:val="000000"/>
          <w:sz w:val="32"/>
          <w:szCs w:val="32"/>
        </w:rPr>
        <w:t>本办法所称的机动车维修企业是指</w:t>
      </w:r>
      <w:r>
        <w:rPr>
          <w:rFonts w:eastAsia="方正仿宋_GBK"/>
          <w:bCs/>
          <w:color w:val="000000"/>
          <w:sz w:val="32"/>
          <w:szCs w:val="32"/>
        </w:rPr>
        <w:t>《机动车维修管理规定》</w:t>
      </w:r>
      <w:r>
        <w:rPr>
          <w:rFonts w:hint="eastAsia" w:eastAsia="方正仿宋_GBK"/>
          <w:bCs/>
          <w:color w:val="000000"/>
          <w:sz w:val="32"/>
          <w:szCs w:val="32"/>
        </w:rPr>
        <w:t>划分的一、二、三类汽车维修企业。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第三条</w:t>
      </w:r>
      <w:r>
        <w:rPr>
          <w:rFonts w:hint="eastAsia" w:eastAsia="方正黑体_GBK"/>
          <w:bCs/>
          <w:color w:val="000000"/>
          <w:sz w:val="32"/>
          <w:szCs w:val="32"/>
        </w:rPr>
        <w:t xml:space="preserve"> </w:t>
      </w:r>
      <w:r>
        <w:rPr>
          <w:rFonts w:hint="eastAsia" w:eastAsia="方正仿宋_GBK"/>
          <w:bCs/>
          <w:color w:val="000000"/>
          <w:sz w:val="32"/>
          <w:szCs w:val="32"/>
        </w:rPr>
        <w:t xml:space="preserve"> </w:t>
      </w:r>
      <w:r>
        <w:rPr>
          <w:rFonts w:eastAsia="方正仿宋_GBK"/>
          <w:bCs/>
          <w:color w:val="000000"/>
          <w:sz w:val="32"/>
          <w:szCs w:val="32"/>
        </w:rPr>
        <w:t>机动车维修企业服务质量</w:t>
      </w:r>
      <w:r>
        <w:rPr>
          <w:rFonts w:hint="eastAsia" w:eastAsia="方正仿宋_GBK"/>
          <w:bCs/>
          <w:color w:val="000000"/>
          <w:sz w:val="32"/>
          <w:szCs w:val="32"/>
        </w:rPr>
        <w:t>等级和星级</w:t>
      </w:r>
      <w:r>
        <w:rPr>
          <w:rFonts w:eastAsia="方正仿宋_GBK"/>
          <w:bCs/>
          <w:color w:val="000000"/>
          <w:sz w:val="32"/>
          <w:szCs w:val="32"/>
        </w:rPr>
        <w:t>评定</w:t>
      </w:r>
      <w:r>
        <w:rPr>
          <w:rFonts w:hint="eastAsia" w:eastAsia="方正仿宋_GBK"/>
          <w:bCs/>
          <w:color w:val="000000"/>
          <w:sz w:val="32"/>
          <w:szCs w:val="32"/>
        </w:rPr>
        <w:t>遵循科学、</w:t>
      </w:r>
      <w:r>
        <w:rPr>
          <w:rFonts w:eastAsia="方正仿宋_GBK"/>
          <w:bCs/>
          <w:color w:val="000000"/>
          <w:sz w:val="32"/>
          <w:szCs w:val="32"/>
        </w:rPr>
        <w:t>公开、公平、公正和服务导向、统一标准、分级评定、动态管理的原则。</w:t>
      </w:r>
      <w:r>
        <w:rPr>
          <w:rFonts w:hint="eastAsia" w:eastAsia="方正仿宋_GBK"/>
          <w:bCs/>
          <w:color w:val="000000"/>
          <w:sz w:val="32"/>
          <w:szCs w:val="32"/>
        </w:rPr>
        <w:t>评定标准、评定程序和评定结果向社会公布，并接受监督。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hint="eastAsia" w:ascii="Times New Roman" w:hAnsi="Times New Roman" w:eastAsia="方正黑体_GBK"/>
          <w:bCs/>
          <w:snapToGrid w:val="0"/>
          <w:color w:val="000000"/>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center"/>
        <w:rPr>
          <w:rFonts w:ascii="Times New Roman" w:hAnsi="Times New Roman" w:eastAsia="方正黑体_GBK"/>
          <w:bCs/>
          <w:snapToGrid w:val="0"/>
          <w:color w:val="000000"/>
          <w:sz w:val="32"/>
          <w:szCs w:val="32"/>
        </w:rPr>
      </w:pPr>
      <w:r>
        <w:rPr>
          <w:rFonts w:ascii="Times New Roman" w:hAnsi="Times New Roman" w:eastAsia="方正黑体_GBK"/>
          <w:bCs/>
          <w:snapToGrid w:val="0"/>
          <w:color w:val="000000"/>
          <w:sz w:val="32"/>
          <w:szCs w:val="32"/>
        </w:rPr>
        <w:t>第二章  评定</w:t>
      </w:r>
      <w:r>
        <w:rPr>
          <w:rFonts w:hint="eastAsia" w:ascii="Times New Roman" w:hAnsi="Times New Roman" w:eastAsia="方正黑体_GBK"/>
          <w:bCs/>
          <w:snapToGrid w:val="0"/>
          <w:color w:val="000000"/>
          <w:sz w:val="32"/>
          <w:szCs w:val="32"/>
        </w:rPr>
        <w:t>内容</w:t>
      </w:r>
      <w:r>
        <w:rPr>
          <w:rFonts w:ascii="Times New Roman" w:hAnsi="Times New Roman" w:eastAsia="方正黑体_GBK"/>
          <w:bCs/>
          <w:snapToGrid w:val="0"/>
          <w:color w:val="000000"/>
          <w:sz w:val="32"/>
          <w:szCs w:val="32"/>
        </w:rPr>
        <w:t>和</w:t>
      </w:r>
      <w:r>
        <w:rPr>
          <w:rFonts w:hint="eastAsia" w:ascii="Times New Roman" w:hAnsi="Times New Roman" w:eastAsia="方正黑体_GBK"/>
          <w:bCs/>
          <w:snapToGrid w:val="0"/>
          <w:color w:val="000000"/>
          <w:sz w:val="32"/>
          <w:szCs w:val="32"/>
        </w:rPr>
        <w:t>标准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0" w:lineRule="exact"/>
        <w:jc w:val="both"/>
        <w:rPr>
          <w:rFonts w:ascii="Times New Roman" w:hAnsi="Times New Roman" w:eastAsia="方正黑体_GBK"/>
          <w:bCs/>
          <w:color w:val="000000"/>
          <w:sz w:val="32"/>
          <w:szCs w:val="32"/>
        </w:rPr>
      </w:pPr>
    </w:p>
    <w:p>
      <w:pPr>
        <w:pStyle w:val="4"/>
        <w:keepNext w:val="0"/>
        <w:keepLines w:val="0"/>
        <w:pageBreakBefore w:val="0"/>
        <w:kinsoku/>
        <w:wordWrap/>
        <w:overflowPunct/>
        <w:topLinePunct w:val="0"/>
        <w:autoSpaceDE/>
        <w:autoSpaceDN/>
        <w:bidi w:val="0"/>
        <w:spacing w:line="570" w:lineRule="exact"/>
        <w:ind w:firstLine="640"/>
        <w:rPr>
          <w:rFonts w:hint="eastAsia" w:eastAsia="方正仿宋_GBK"/>
          <w:bCs/>
          <w:color w:val="000000"/>
          <w:sz w:val="32"/>
          <w:szCs w:val="32"/>
        </w:rPr>
      </w:pPr>
      <w:r>
        <w:rPr>
          <w:rFonts w:hint="eastAsia" w:ascii="方正楷体_GBK" w:eastAsia="方正黑体_GBK"/>
          <w:bCs/>
          <w:color w:val="000000"/>
          <w:sz w:val="32"/>
          <w:szCs w:val="32"/>
        </w:rPr>
        <w:t xml:space="preserve">第四条 </w:t>
      </w:r>
      <w:r>
        <w:rPr>
          <w:rFonts w:hint="eastAsia" w:eastAsia="方正仿宋_GBK"/>
          <w:bCs/>
          <w:color w:val="000000"/>
          <w:sz w:val="32"/>
          <w:szCs w:val="32"/>
        </w:rPr>
        <w:t xml:space="preserve"> 机动车维修企业服务质量等级和星级评定内容包括从业人员条件、安全生产、经营管理、服务质量、场地设施、环境保护、企业文化、创新奖励等方面。</w:t>
      </w:r>
    </w:p>
    <w:p>
      <w:pPr>
        <w:pStyle w:val="4"/>
        <w:keepNext w:val="0"/>
        <w:keepLines w:val="0"/>
        <w:pageBreakBefore w:val="0"/>
        <w:kinsoku/>
        <w:wordWrap/>
        <w:overflowPunct/>
        <w:topLinePunct w:val="0"/>
        <w:autoSpaceDE/>
        <w:autoSpaceDN/>
        <w:bidi w:val="0"/>
        <w:spacing w:line="570" w:lineRule="exact"/>
        <w:ind w:firstLine="640"/>
        <w:rPr>
          <w:rFonts w:hint="eastAsia" w:eastAsia="方正仿宋_GBK"/>
          <w:bCs/>
          <w:color w:val="000000"/>
          <w:sz w:val="32"/>
          <w:szCs w:val="32"/>
        </w:rPr>
      </w:pPr>
      <w:r>
        <w:rPr>
          <w:rFonts w:hint="eastAsia" w:ascii="方正楷体_GBK" w:eastAsia="方正黑体_GBK"/>
          <w:bCs/>
          <w:color w:val="000000"/>
          <w:sz w:val="32"/>
          <w:szCs w:val="32"/>
        </w:rPr>
        <w:t>第五条</w:t>
      </w:r>
      <w:r>
        <w:rPr>
          <w:rFonts w:hint="eastAsia" w:eastAsia="方正黑体_GBK"/>
          <w:bCs/>
          <w:color w:val="000000"/>
          <w:sz w:val="32"/>
          <w:szCs w:val="32"/>
        </w:rPr>
        <w:t xml:space="preserve">  </w:t>
      </w:r>
      <w:r>
        <w:rPr>
          <w:rFonts w:hint="eastAsia" w:eastAsia="方正仿宋_GBK"/>
          <w:bCs/>
          <w:color w:val="000000"/>
          <w:sz w:val="32"/>
          <w:szCs w:val="32"/>
        </w:rPr>
        <w:t>机动车维修企业</w:t>
      </w:r>
      <w:r>
        <w:rPr>
          <w:rFonts w:eastAsia="方正仿宋_GBK"/>
          <w:bCs/>
          <w:color w:val="000000"/>
          <w:sz w:val="32"/>
          <w:szCs w:val="32"/>
        </w:rPr>
        <w:t>服务质量</w:t>
      </w:r>
      <w:r>
        <w:rPr>
          <w:rFonts w:hint="eastAsia" w:eastAsia="方正仿宋_GBK"/>
          <w:bCs/>
          <w:color w:val="000000"/>
          <w:sz w:val="32"/>
          <w:szCs w:val="32"/>
        </w:rPr>
        <w:t>等级和星级</w:t>
      </w:r>
      <w:r>
        <w:rPr>
          <w:rFonts w:eastAsia="方正仿宋_GBK"/>
          <w:bCs/>
          <w:color w:val="000000"/>
          <w:sz w:val="32"/>
          <w:szCs w:val="32"/>
        </w:rPr>
        <w:t>评定采取记分制，评定总分为1000分。</w:t>
      </w:r>
      <w:r>
        <w:rPr>
          <w:rFonts w:hint="eastAsia" w:eastAsia="方正仿宋_GBK"/>
          <w:bCs/>
          <w:color w:val="000000"/>
          <w:sz w:val="32"/>
          <w:szCs w:val="32"/>
        </w:rPr>
        <w:t>具体记分标准按照《一、二类汽车维修企业服务质量评定标准》（附件1）和《三类汽车维修企业服务质量评定标准》（附件2）执行。</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第六条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机动车维修企业服务质量等级</w:t>
      </w:r>
      <w:r>
        <w:rPr>
          <w:rFonts w:hint="eastAsia" w:eastAsia="方正仿宋_GBK"/>
          <w:bCs/>
          <w:color w:val="000000"/>
          <w:sz w:val="32"/>
          <w:szCs w:val="32"/>
        </w:rPr>
        <w:t>根据评定得分分</w:t>
      </w:r>
      <w:r>
        <w:rPr>
          <w:rFonts w:eastAsia="方正仿宋_GBK"/>
          <w:bCs/>
          <w:color w:val="000000"/>
          <w:sz w:val="32"/>
          <w:szCs w:val="32"/>
        </w:rPr>
        <w:t>为达标、不达标两个等级。评定周期内服务质量等级评定得分600分</w:t>
      </w:r>
      <w:r>
        <w:rPr>
          <w:rFonts w:hint="eastAsia" w:eastAsia="方正仿宋_GBK"/>
          <w:bCs/>
          <w:color w:val="000000"/>
          <w:sz w:val="32"/>
          <w:szCs w:val="32"/>
        </w:rPr>
        <w:t>以上</w:t>
      </w:r>
      <w:r>
        <w:rPr>
          <w:rFonts w:eastAsia="方正仿宋_GBK"/>
          <w:bCs/>
          <w:color w:val="000000"/>
          <w:sz w:val="32"/>
          <w:szCs w:val="32"/>
        </w:rPr>
        <w:t>的为达标，</w:t>
      </w:r>
      <w:r>
        <w:rPr>
          <w:rFonts w:hint="eastAsia" w:eastAsia="方正仿宋_GBK"/>
          <w:bCs/>
          <w:color w:val="000000"/>
          <w:sz w:val="32"/>
          <w:szCs w:val="32"/>
        </w:rPr>
        <w:t>低于</w:t>
      </w:r>
      <w:r>
        <w:rPr>
          <w:rFonts w:eastAsia="方正仿宋_GBK"/>
          <w:bCs/>
          <w:color w:val="000000"/>
          <w:sz w:val="32"/>
          <w:szCs w:val="32"/>
        </w:rPr>
        <w:t>600分的为不达标。</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 xml:space="preserve">评定周期内机动车维修企业有下列行为之一的，服务质量等级确定为不达标：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（一）超</w:t>
      </w:r>
      <w:r>
        <w:rPr>
          <w:rFonts w:hint="eastAsia" w:eastAsia="方正仿宋_GBK"/>
          <w:bCs/>
          <w:color w:val="000000"/>
          <w:sz w:val="32"/>
          <w:szCs w:val="32"/>
        </w:rPr>
        <w:t>出</w:t>
      </w:r>
      <w:r>
        <w:rPr>
          <w:rFonts w:eastAsia="方正仿宋_GBK"/>
          <w:bCs/>
          <w:color w:val="000000"/>
          <w:sz w:val="32"/>
          <w:szCs w:val="32"/>
        </w:rPr>
        <w:t>备案事项从事</w:t>
      </w:r>
      <w:r>
        <w:rPr>
          <w:rFonts w:hint="eastAsia" w:eastAsia="方正仿宋_GBK"/>
          <w:bCs/>
          <w:color w:val="000000"/>
          <w:sz w:val="32"/>
          <w:szCs w:val="32"/>
        </w:rPr>
        <w:t>机动车</w:t>
      </w:r>
      <w:r>
        <w:rPr>
          <w:rFonts w:eastAsia="方正仿宋_GBK"/>
          <w:bCs/>
          <w:color w:val="000000"/>
          <w:sz w:val="32"/>
          <w:szCs w:val="32"/>
        </w:rPr>
        <w:t>维修经营的；</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（二）场地、设备备案事项与实际严重不符的；</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三</w:t>
      </w:r>
      <w:r>
        <w:rPr>
          <w:rFonts w:eastAsia="方正仿宋_GBK"/>
          <w:bCs/>
          <w:color w:val="000000"/>
          <w:sz w:val="32"/>
          <w:szCs w:val="32"/>
        </w:rPr>
        <w:t>）使用假冒伪劣配件维修机动车，承修已报废的机动车或者擅自改装机动车的；</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仿宋_GBK"/>
          <w:bCs/>
          <w:color w:val="000000"/>
          <w:sz w:val="32"/>
          <w:szCs w:val="32"/>
        </w:rPr>
        <w:t>（</w:t>
      </w:r>
      <w:r>
        <w:rPr>
          <w:rFonts w:hint="eastAsia" w:eastAsia="方正仿宋_GBK"/>
          <w:bCs/>
          <w:color w:val="000000"/>
          <w:sz w:val="32"/>
          <w:szCs w:val="32"/>
        </w:rPr>
        <w:t>四</w:t>
      </w:r>
      <w:r>
        <w:rPr>
          <w:rFonts w:eastAsia="方正仿宋_GBK"/>
          <w:bCs/>
          <w:color w:val="000000"/>
          <w:sz w:val="32"/>
          <w:szCs w:val="32"/>
        </w:rPr>
        <w:t>）签发虚假机动车维修竣工出厂合格证的；</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仿宋_GBK"/>
          <w:bCs/>
          <w:color w:val="000000"/>
          <w:sz w:val="32"/>
          <w:szCs w:val="32"/>
        </w:rPr>
        <w:t>（</w:t>
      </w:r>
      <w:r>
        <w:rPr>
          <w:rFonts w:hint="eastAsia" w:eastAsia="方正仿宋_GBK"/>
          <w:bCs/>
          <w:color w:val="000000"/>
          <w:sz w:val="32"/>
          <w:szCs w:val="32"/>
        </w:rPr>
        <w:t>五</w:t>
      </w:r>
      <w:r>
        <w:rPr>
          <w:rFonts w:eastAsia="方正仿宋_GBK"/>
          <w:bCs/>
          <w:color w:val="000000"/>
          <w:sz w:val="32"/>
          <w:szCs w:val="32"/>
        </w:rPr>
        <w:t>）发生弄虚作假等欺骗消费者行为，造成恶劣影响的；</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（六）</w:t>
      </w:r>
      <w:r>
        <w:rPr>
          <w:rFonts w:eastAsia="方正仿宋_GBK"/>
          <w:bCs/>
          <w:color w:val="000000"/>
          <w:sz w:val="32"/>
          <w:szCs w:val="32"/>
        </w:rPr>
        <w:t>发生</w:t>
      </w:r>
      <w:r>
        <w:rPr>
          <w:rFonts w:hint="eastAsia" w:eastAsia="方正仿宋_GBK"/>
          <w:bCs/>
          <w:color w:val="000000"/>
          <w:sz w:val="32"/>
          <w:szCs w:val="32"/>
        </w:rPr>
        <w:t>有责投诉和媒体曝光，造成恶劣影响的；</w:t>
      </w:r>
    </w:p>
    <w:p>
      <w:pPr>
        <w:keepNext w:val="0"/>
        <w:keepLines w:val="0"/>
        <w:pageBreakBefore w:val="0"/>
        <w:kinsoku/>
        <w:wordWrap/>
        <w:overflowPunct/>
        <w:topLinePunct w:val="0"/>
        <w:autoSpaceDE/>
        <w:autoSpaceDN/>
        <w:bidi w:val="0"/>
        <w:spacing w:line="570" w:lineRule="exact"/>
        <w:ind w:firstLine="640" w:firstLineChars="200"/>
        <w:rPr>
          <w:color w:val="000000"/>
        </w:rPr>
      </w:pPr>
      <w:r>
        <w:rPr>
          <w:rFonts w:eastAsia="方正仿宋_GBK"/>
          <w:bCs/>
          <w:color w:val="000000"/>
          <w:sz w:val="32"/>
          <w:szCs w:val="32"/>
        </w:rPr>
        <w:t>（</w:t>
      </w:r>
      <w:r>
        <w:rPr>
          <w:rFonts w:hint="eastAsia" w:eastAsia="方正仿宋_GBK"/>
          <w:bCs/>
          <w:color w:val="000000"/>
          <w:sz w:val="32"/>
          <w:szCs w:val="32"/>
        </w:rPr>
        <w:t>七</w:t>
      </w:r>
      <w:r>
        <w:rPr>
          <w:rFonts w:eastAsia="方正仿宋_GBK"/>
          <w:bCs/>
          <w:color w:val="000000"/>
          <w:sz w:val="32"/>
          <w:szCs w:val="32"/>
        </w:rPr>
        <w:t>）发生</w:t>
      </w:r>
      <w:r>
        <w:rPr>
          <w:rFonts w:hint="eastAsia" w:eastAsia="方正仿宋_GBK"/>
          <w:bCs/>
          <w:color w:val="000000"/>
          <w:sz w:val="32"/>
          <w:szCs w:val="32"/>
        </w:rPr>
        <w:t>安全生产、环境污染、维修质量</w:t>
      </w:r>
      <w:r>
        <w:rPr>
          <w:rFonts w:eastAsia="方正仿宋_GBK"/>
          <w:bCs/>
          <w:color w:val="000000"/>
          <w:sz w:val="32"/>
          <w:szCs w:val="32"/>
        </w:rPr>
        <w:t>责任事故</w:t>
      </w:r>
      <w:r>
        <w:rPr>
          <w:rFonts w:hint="eastAsia" w:eastAsia="方正仿宋_GBK"/>
          <w:bCs/>
          <w:color w:val="000000"/>
          <w:sz w:val="32"/>
          <w:szCs w:val="32"/>
        </w:rPr>
        <w:t>，造成严重后果</w:t>
      </w:r>
      <w:r>
        <w:rPr>
          <w:rFonts w:eastAsia="方正仿宋_GBK"/>
          <w:bCs/>
          <w:color w:val="000000"/>
          <w:sz w:val="32"/>
          <w:szCs w:val="32"/>
        </w:rPr>
        <w:t>的；</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仿宋_GBK"/>
          <w:bCs/>
          <w:color w:val="000000"/>
          <w:sz w:val="32"/>
          <w:szCs w:val="32"/>
        </w:rPr>
        <w:t>（</w:t>
      </w:r>
      <w:r>
        <w:rPr>
          <w:rFonts w:hint="eastAsia" w:eastAsia="方正仿宋_GBK"/>
          <w:bCs/>
          <w:color w:val="000000"/>
          <w:sz w:val="32"/>
          <w:szCs w:val="32"/>
        </w:rPr>
        <w:t>八</w:t>
      </w:r>
      <w:r>
        <w:rPr>
          <w:rFonts w:eastAsia="方正仿宋_GBK"/>
          <w:bCs/>
          <w:color w:val="000000"/>
          <w:sz w:val="32"/>
          <w:szCs w:val="32"/>
        </w:rPr>
        <w:t>）不按照要求参加服务质量等级评定</w:t>
      </w:r>
      <w:r>
        <w:rPr>
          <w:rFonts w:hint="eastAsia" w:eastAsia="方正仿宋_GBK"/>
          <w:bCs/>
          <w:color w:val="000000"/>
          <w:sz w:val="32"/>
          <w:szCs w:val="32"/>
        </w:rPr>
        <w:t>或</w:t>
      </w:r>
      <w:r>
        <w:rPr>
          <w:rFonts w:eastAsia="方正仿宋_GBK"/>
          <w:bCs/>
          <w:color w:val="000000"/>
          <w:sz w:val="32"/>
          <w:szCs w:val="32"/>
        </w:rPr>
        <w:t>因不配合导致服务质量等级评定无法正常开展的</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hint="eastAsia" w:eastAsia="方正仿宋_GBK"/>
          <w:bCs/>
          <w:color w:val="000000"/>
          <w:sz w:val="32"/>
          <w:szCs w:val="32"/>
        </w:rPr>
        <w:t>（九）其他不符合达标标准的。</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第七条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从事机动车维修经营2年以上，评定周期内服务质量等级评定得分850分以上且“安全生产”“服务质量”和“环境保护”项目单项得分率85%以上的机动车维修企业，可以自愿申请参加星级维修企业评定。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第八条</w:t>
      </w:r>
      <w:r>
        <w:rPr>
          <w:rFonts w:hint="eastAsia" w:eastAsia="方正黑体_GBK"/>
          <w:bCs/>
          <w:color w:val="000000"/>
          <w:sz w:val="32"/>
          <w:szCs w:val="32"/>
        </w:rPr>
        <w:t xml:space="preserve">  </w:t>
      </w:r>
      <w:r>
        <w:rPr>
          <w:rFonts w:eastAsia="方正仿宋_GBK"/>
          <w:bCs/>
          <w:color w:val="000000"/>
          <w:sz w:val="32"/>
          <w:szCs w:val="32"/>
        </w:rPr>
        <w:t>星级</w:t>
      </w:r>
      <w:r>
        <w:rPr>
          <w:rFonts w:hint="eastAsia" w:eastAsia="方正仿宋_GBK"/>
          <w:bCs/>
          <w:color w:val="000000"/>
          <w:sz w:val="32"/>
          <w:szCs w:val="32"/>
        </w:rPr>
        <w:t>维修</w:t>
      </w:r>
      <w:r>
        <w:rPr>
          <w:rFonts w:eastAsia="方正仿宋_GBK"/>
          <w:bCs/>
          <w:color w:val="000000"/>
          <w:sz w:val="32"/>
          <w:szCs w:val="32"/>
        </w:rPr>
        <w:t>企业由高到低分为五星级、四星级、三星级</w:t>
      </w:r>
      <w:r>
        <w:rPr>
          <w:rFonts w:hint="eastAsia" w:eastAsia="方正仿宋_GBK"/>
          <w:bCs/>
          <w:color w:val="000000"/>
          <w:sz w:val="32"/>
          <w:szCs w:val="32"/>
        </w:rPr>
        <w:t>。</w:t>
      </w:r>
      <w:r>
        <w:rPr>
          <w:rFonts w:eastAsia="方正仿宋_GBK"/>
          <w:bCs/>
          <w:color w:val="000000"/>
          <w:sz w:val="32"/>
          <w:szCs w:val="32"/>
        </w:rPr>
        <w:t>一、二类</w:t>
      </w:r>
      <w:r>
        <w:rPr>
          <w:rFonts w:hint="eastAsia" w:eastAsia="方正仿宋_GBK"/>
          <w:bCs/>
          <w:color w:val="000000"/>
          <w:sz w:val="32"/>
          <w:szCs w:val="32"/>
        </w:rPr>
        <w:t>汽车</w:t>
      </w:r>
      <w:r>
        <w:rPr>
          <w:rFonts w:eastAsia="方正仿宋_GBK"/>
          <w:bCs/>
          <w:color w:val="000000"/>
          <w:sz w:val="32"/>
          <w:szCs w:val="32"/>
        </w:rPr>
        <w:t>维修企业</w:t>
      </w:r>
      <w:r>
        <w:rPr>
          <w:rFonts w:hint="eastAsia" w:eastAsia="方正仿宋_GBK"/>
          <w:bCs/>
          <w:color w:val="000000"/>
          <w:sz w:val="32"/>
          <w:szCs w:val="32"/>
        </w:rPr>
        <w:t>可以</w:t>
      </w:r>
      <w:r>
        <w:rPr>
          <w:rFonts w:eastAsia="方正仿宋_GBK"/>
          <w:bCs/>
          <w:color w:val="000000"/>
          <w:sz w:val="32"/>
          <w:szCs w:val="32"/>
        </w:rPr>
        <w:t>申请参加</w:t>
      </w:r>
      <w:r>
        <w:rPr>
          <w:rFonts w:hint="eastAsia" w:eastAsia="方正仿宋_GBK"/>
          <w:bCs/>
          <w:color w:val="000000"/>
          <w:sz w:val="32"/>
          <w:szCs w:val="32"/>
        </w:rPr>
        <w:t>三、四、五星</w:t>
      </w:r>
      <w:r>
        <w:rPr>
          <w:rFonts w:eastAsia="方正仿宋_GBK"/>
          <w:bCs/>
          <w:color w:val="000000"/>
          <w:sz w:val="32"/>
          <w:szCs w:val="32"/>
        </w:rPr>
        <w:t>级维修企业评定，三类</w:t>
      </w:r>
      <w:r>
        <w:rPr>
          <w:rFonts w:hint="eastAsia" w:eastAsia="方正仿宋_GBK"/>
          <w:bCs/>
          <w:color w:val="000000"/>
          <w:sz w:val="32"/>
          <w:szCs w:val="32"/>
        </w:rPr>
        <w:t>汽车</w:t>
      </w:r>
      <w:r>
        <w:rPr>
          <w:rFonts w:eastAsia="方正仿宋_GBK"/>
          <w:bCs/>
          <w:color w:val="000000"/>
          <w:sz w:val="32"/>
          <w:szCs w:val="32"/>
        </w:rPr>
        <w:t>维修企业</w:t>
      </w:r>
      <w:r>
        <w:rPr>
          <w:rFonts w:hint="eastAsia" w:eastAsia="方正仿宋_GBK"/>
          <w:bCs/>
          <w:color w:val="000000"/>
          <w:sz w:val="32"/>
          <w:szCs w:val="32"/>
        </w:rPr>
        <w:t>可以</w:t>
      </w:r>
      <w:r>
        <w:rPr>
          <w:rFonts w:eastAsia="方正仿宋_GBK"/>
          <w:bCs/>
          <w:color w:val="000000"/>
          <w:sz w:val="32"/>
          <w:szCs w:val="32"/>
        </w:rPr>
        <w:t>申请参加三星级维修企业评定。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第九条</w:t>
      </w:r>
      <w:r>
        <w:rPr>
          <w:rFonts w:hint="eastAsia" w:eastAsia="方正黑体_GBK"/>
          <w:bCs/>
          <w:color w:val="000000"/>
          <w:sz w:val="32"/>
          <w:szCs w:val="32"/>
        </w:rPr>
        <w:t xml:space="preserve"> </w:t>
      </w:r>
      <w:r>
        <w:rPr>
          <w:rFonts w:eastAsia="方正仿宋_GBK"/>
          <w:bCs/>
          <w:color w:val="000000"/>
          <w:sz w:val="32"/>
          <w:szCs w:val="32"/>
        </w:rPr>
        <w:t xml:space="preserve"> </w:t>
      </w:r>
      <w:r>
        <w:rPr>
          <w:rFonts w:hint="eastAsia" w:eastAsia="方正仿宋_GBK"/>
          <w:bCs/>
          <w:color w:val="000000"/>
          <w:sz w:val="32"/>
          <w:szCs w:val="32"/>
        </w:rPr>
        <w:t>一、二类汽车维修企业申请参加</w:t>
      </w:r>
      <w:r>
        <w:rPr>
          <w:rFonts w:eastAsia="方正仿宋_GBK"/>
          <w:bCs/>
          <w:color w:val="000000"/>
          <w:sz w:val="32"/>
          <w:szCs w:val="32"/>
        </w:rPr>
        <w:t>星级</w:t>
      </w:r>
      <w:r>
        <w:rPr>
          <w:rFonts w:hint="eastAsia" w:eastAsia="方正仿宋_GBK"/>
          <w:bCs/>
          <w:color w:val="000000"/>
          <w:sz w:val="32"/>
          <w:szCs w:val="32"/>
        </w:rPr>
        <w:t>维修</w:t>
      </w:r>
      <w:r>
        <w:rPr>
          <w:rFonts w:eastAsia="方正仿宋_GBK"/>
          <w:bCs/>
          <w:color w:val="000000"/>
          <w:sz w:val="32"/>
          <w:szCs w:val="32"/>
        </w:rPr>
        <w:t>企业</w:t>
      </w:r>
      <w:r>
        <w:rPr>
          <w:rFonts w:hint="eastAsia" w:eastAsia="方正仿宋_GBK"/>
          <w:bCs/>
          <w:color w:val="000000"/>
          <w:sz w:val="32"/>
          <w:szCs w:val="32"/>
        </w:rPr>
        <w:t>评定应当符合下列</w:t>
      </w:r>
      <w:r>
        <w:rPr>
          <w:rFonts w:eastAsia="方正仿宋_GBK"/>
          <w:bCs/>
          <w:color w:val="000000"/>
          <w:sz w:val="32"/>
          <w:szCs w:val="32"/>
        </w:rPr>
        <w:t>条件：</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黑体_GBK"/>
          <w:bCs/>
          <w:color w:val="000000"/>
          <w:sz w:val="32"/>
          <w:szCs w:val="32"/>
        </w:rPr>
        <w:t>（一）五星级企业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1</w:t>
      </w:r>
      <w:r>
        <w:rPr>
          <w:rFonts w:hint="eastAsia" w:eastAsia="方正仿宋_GBK"/>
          <w:bCs/>
          <w:color w:val="000000"/>
          <w:sz w:val="32"/>
          <w:szCs w:val="32"/>
        </w:rPr>
        <w:t>．</w:t>
      </w:r>
      <w:r>
        <w:rPr>
          <w:rFonts w:eastAsia="方正仿宋_GBK"/>
          <w:bCs/>
          <w:color w:val="000000"/>
          <w:sz w:val="32"/>
          <w:szCs w:val="32"/>
        </w:rPr>
        <w:t>评定周期内连续</w:t>
      </w:r>
      <w:r>
        <w:rPr>
          <w:rFonts w:hint="eastAsia" w:eastAsia="方正仿宋_GBK"/>
          <w:bCs/>
          <w:color w:val="000000"/>
          <w:sz w:val="32"/>
          <w:szCs w:val="32"/>
        </w:rPr>
        <w:t>2</w:t>
      </w:r>
      <w:r>
        <w:rPr>
          <w:rFonts w:eastAsia="方正仿宋_GBK"/>
          <w:bCs/>
          <w:color w:val="000000"/>
          <w:sz w:val="32"/>
          <w:szCs w:val="32"/>
        </w:rPr>
        <w:t>年服务质量等级评定得分</w:t>
      </w:r>
      <w:r>
        <w:rPr>
          <w:rFonts w:hint="eastAsia" w:eastAsia="方正仿宋_GBK"/>
          <w:bCs/>
          <w:color w:val="000000"/>
          <w:sz w:val="32"/>
          <w:szCs w:val="32"/>
        </w:rPr>
        <w:t>均</w:t>
      </w:r>
      <w:r>
        <w:rPr>
          <w:rFonts w:eastAsia="方正仿宋_GBK"/>
          <w:bCs/>
          <w:color w:val="000000"/>
          <w:sz w:val="32"/>
          <w:szCs w:val="32"/>
        </w:rPr>
        <w:t>为9</w:t>
      </w:r>
      <w:r>
        <w:rPr>
          <w:rFonts w:hint="eastAsia" w:eastAsia="方正仿宋_GBK"/>
          <w:bCs/>
          <w:color w:val="000000"/>
          <w:sz w:val="32"/>
          <w:szCs w:val="32"/>
        </w:rPr>
        <w:t>5</w:t>
      </w:r>
      <w:r>
        <w:rPr>
          <w:rFonts w:eastAsia="方正仿宋_GBK"/>
          <w:bCs/>
          <w:color w:val="000000"/>
          <w:sz w:val="32"/>
          <w:szCs w:val="32"/>
        </w:rPr>
        <w:t>0分以上；</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2</w:t>
      </w:r>
      <w:r>
        <w:rPr>
          <w:rFonts w:hint="eastAsia" w:eastAsia="方正仿宋_GBK"/>
          <w:bCs/>
          <w:color w:val="000000"/>
          <w:sz w:val="32"/>
          <w:szCs w:val="32"/>
        </w:rPr>
        <w:t>．</w:t>
      </w:r>
      <w:r>
        <w:rPr>
          <w:rFonts w:eastAsia="方正仿宋_GBK"/>
          <w:bCs/>
          <w:color w:val="000000"/>
          <w:sz w:val="32"/>
          <w:szCs w:val="32"/>
        </w:rPr>
        <w:t>评定周期内连续</w:t>
      </w:r>
      <w:r>
        <w:rPr>
          <w:rFonts w:hint="eastAsia" w:eastAsia="方正仿宋_GBK"/>
          <w:bCs/>
          <w:color w:val="000000"/>
          <w:sz w:val="32"/>
          <w:szCs w:val="32"/>
        </w:rPr>
        <w:t>2</w:t>
      </w:r>
      <w:r>
        <w:rPr>
          <w:rFonts w:eastAsia="方正仿宋_GBK"/>
          <w:bCs/>
          <w:color w:val="000000"/>
          <w:sz w:val="32"/>
          <w:szCs w:val="32"/>
        </w:rPr>
        <w:t>年信用评价</w:t>
      </w:r>
      <w:r>
        <w:rPr>
          <w:rFonts w:hint="eastAsia" w:eastAsia="方正仿宋_GBK"/>
          <w:bCs/>
          <w:color w:val="000000"/>
          <w:sz w:val="32"/>
          <w:szCs w:val="32"/>
        </w:rPr>
        <w:t>等级</w:t>
      </w:r>
      <w:r>
        <w:rPr>
          <w:rFonts w:eastAsia="方正仿宋_GBK"/>
          <w:bCs/>
          <w:color w:val="000000"/>
          <w:sz w:val="32"/>
          <w:szCs w:val="32"/>
        </w:rPr>
        <w:t>均为AA级；</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3</w:t>
      </w:r>
      <w:r>
        <w:rPr>
          <w:rFonts w:hint="eastAsia" w:eastAsia="方正仿宋_GBK"/>
          <w:bCs/>
          <w:color w:val="000000"/>
          <w:sz w:val="32"/>
          <w:szCs w:val="32"/>
        </w:rPr>
        <w:t>．</w:t>
      </w:r>
      <w:r>
        <w:rPr>
          <w:rFonts w:eastAsia="方正仿宋_GBK"/>
          <w:bCs/>
          <w:color w:val="000000"/>
          <w:sz w:val="32"/>
          <w:szCs w:val="32"/>
        </w:rPr>
        <w:t>生产厂房面积大于1000m</w:t>
      </w:r>
      <w:r>
        <w:rPr>
          <w:rFonts w:eastAsia="方正仿宋_GBK"/>
          <w:bCs/>
          <w:color w:val="000000"/>
          <w:sz w:val="32"/>
          <w:szCs w:val="32"/>
          <w:vertAlign w:val="superscript"/>
        </w:rPr>
        <w:t>2</w:t>
      </w:r>
      <w:r>
        <w:rPr>
          <w:rFonts w:eastAsia="方正仿宋_GBK"/>
          <w:bCs/>
          <w:color w:val="000000"/>
          <w:sz w:val="32"/>
          <w:szCs w:val="32"/>
        </w:rPr>
        <w:t>、停车场面积大于400m</w:t>
      </w:r>
      <w:r>
        <w:rPr>
          <w:rFonts w:eastAsia="方正仿宋_GBK"/>
          <w:bCs/>
          <w:color w:val="000000"/>
          <w:sz w:val="32"/>
          <w:szCs w:val="32"/>
          <w:vertAlign w:val="superscript"/>
        </w:rPr>
        <w:t>2</w:t>
      </w:r>
      <w:r>
        <w:rPr>
          <w:rFonts w:eastAsia="方正仿宋_GBK"/>
          <w:bCs/>
          <w:color w:val="000000"/>
          <w:sz w:val="32"/>
          <w:szCs w:val="32"/>
        </w:rPr>
        <w:t>、客户休息室大于80m</w:t>
      </w:r>
      <w:r>
        <w:rPr>
          <w:rFonts w:eastAsia="方正仿宋_GBK"/>
          <w:bCs/>
          <w:color w:val="000000"/>
          <w:sz w:val="32"/>
          <w:szCs w:val="32"/>
          <w:vertAlign w:val="superscript"/>
        </w:rPr>
        <w:t>2</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黑体_GBK"/>
          <w:bCs/>
          <w:color w:val="000000"/>
          <w:sz w:val="32"/>
          <w:szCs w:val="32"/>
        </w:rPr>
        <w:t>（二）四星级企业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黑体_GBK"/>
          <w:bCs/>
          <w:color w:val="000000"/>
          <w:sz w:val="32"/>
          <w:szCs w:val="32"/>
        </w:rPr>
        <w:t>1</w:t>
      </w:r>
      <w:r>
        <w:rPr>
          <w:rFonts w:hint="eastAsia" w:eastAsia="方正仿宋_GBK"/>
          <w:bCs/>
          <w:color w:val="000000"/>
          <w:sz w:val="32"/>
          <w:szCs w:val="32"/>
        </w:rPr>
        <w:t>．</w:t>
      </w:r>
      <w:r>
        <w:rPr>
          <w:rFonts w:eastAsia="方正仿宋_GBK"/>
          <w:bCs/>
          <w:color w:val="000000"/>
          <w:sz w:val="32"/>
          <w:szCs w:val="32"/>
        </w:rPr>
        <w:t>评定周期内连续</w:t>
      </w:r>
      <w:r>
        <w:rPr>
          <w:rFonts w:hint="eastAsia" w:eastAsia="方正仿宋_GBK"/>
          <w:bCs/>
          <w:color w:val="000000"/>
          <w:sz w:val="32"/>
          <w:szCs w:val="32"/>
        </w:rPr>
        <w:t>2</w:t>
      </w:r>
      <w:r>
        <w:rPr>
          <w:rFonts w:eastAsia="方正仿宋_GBK"/>
          <w:bCs/>
          <w:color w:val="000000"/>
          <w:sz w:val="32"/>
          <w:szCs w:val="32"/>
        </w:rPr>
        <w:t>年服务质量等级评定得分</w:t>
      </w:r>
      <w:r>
        <w:rPr>
          <w:rFonts w:hint="eastAsia" w:eastAsia="方正仿宋_GBK"/>
          <w:bCs/>
          <w:color w:val="000000"/>
          <w:sz w:val="32"/>
          <w:szCs w:val="32"/>
        </w:rPr>
        <w:t>均</w:t>
      </w:r>
      <w:r>
        <w:rPr>
          <w:rFonts w:eastAsia="方正仿宋_GBK"/>
          <w:bCs/>
          <w:color w:val="000000"/>
          <w:sz w:val="32"/>
          <w:szCs w:val="32"/>
        </w:rPr>
        <w:t>为9</w:t>
      </w:r>
      <w:r>
        <w:rPr>
          <w:rFonts w:hint="eastAsia" w:eastAsia="方正仿宋_GBK"/>
          <w:bCs/>
          <w:color w:val="000000"/>
          <w:sz w:val="32"/>
          <w:szCs w:val="32"/>
        </w:rPr>
        <w:t>0</w:t>
      </w:r>
      <w:r>
        <w:rPr>
          <w:rFonts w:eastAsia="方正仿宋_GBK"/>
          <w:bCs/>
          <w:color w:val="000000"/>
          <w:sz w:val="32"/>
          <w:szCs w:val="32"/>
        </w:rPr>
        <w:t>0分以上；</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2</w:t>
      </w:r>
      <w:r>
        <w:rPr>
          <w:rFonts w:hint="eastAsia" w:eastAsia="方正仿宋_GBK"/>
          <w:bCs/>
          <w:color w:val="000000"/>
          <w:sz w:val="32"/>
          <w:szCs w:val="32"/>
        </w:rPr>
        <w:t>．</w:t>
      </w:r>
      <w:r>
        <w:rPr>
          <w:rFonts w:eastAsia="方正仿宋_GBK"/>
          <w:bCs/>
          <w:color w:val="000000"/>
          <w:sz w:val="32"/>
          <w:szCs w:val="32"/>
        </w:rPr>
        <w:t>评定周期内信用评价</w:t>
      </w:r>
      <w:r>
        <w:rPr>
          <w:rFonts w:hint="eastAsia" w:eastAsia="方正仿宋_GBK"/>
          <w:bCs/>
          <w:color w:val="000000"/>
          <w:sz w:val="32"/>
          <w:szCs w:val="32"/>
        </w:rPr>
        <w:t>等级</w:t>
      </w:r>
      <w:r>
        <w:rPr>
          <w:rFonts w:eastAsia="方正仿宋_GBK"/>
          <w:bCs/>
          <w:color w:val="000000"/>
          <w:sz w:val="32"/>
          <w:szCs w:val="32"/>
        </w:rPr>
        <w:t>为A级以上且</w:t>
      </w:r>
      <w:r>
        <w:rPr>
          <w:rFonts w:hint="eastAsia" w:eastAsia="方正仿宋_GBK"/>
          <w:bCs/>
          <w:color w:val="000000"/>
          <w:sz w:val="32"/>
          <w:szCs w:val="32"/>
        </w:rPr>
        <w:t>至少有1年</w:t>
      </w:r>
      <w:r>
        <w:rPr>
          <w:rFonts w:eastAsia="方正仿宋_GBK"/>
          <w:bCs/>
          <w:color w:val="000000"/>
          <w:sz w:val="32"/>
          <w:szCs w:val="32"/>
        </w:rPr>
        <w:t>为AA级</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jc w:val="left"/>
        <w:rPr>
          <w:rFonts w:eastAsia="方正仿宋_GBK"/>
          <w:bCs/>
          <w:color w:val="000000"/>
          <w:sz w:val="32"/>
          <w:szCs w:val="32"/>
        </w:rPr>
      </w:pPr>
      <w:r>
        <w:rPr>
          <w:rFonts w:eastAsia="方正仿宋_GBK"/>
          <w:bCs/>
          <w:color w:val="000000"/>
          <w:sz w:val="32"/>
          <w:szCs w:val="32"/>
        </w:rPr>
        <w:t>3</w:t>
      </w:r>
      <w:r>
        <w:rPr>
          <w:rFonts w:hint="eastAsia" w:eastAsia="方正仿宋_GBK"/>
          <w:bCs/>
          <w:color w:val="000000"/>
          <w:sz w:val="32"/>
          <w:szCs w:val="32"/>
        </w:rPr>
        <w:t>．</w:t>
      </w:r>
      <w:r>
        <w:rPr>
          <w:rFonts w:eastAsia="方正仿宋_GBK"/>
          <w:bCs/>
          <w:color w:val="000000"/>
          <w:sz w:val="32"/>
          <w:szCs w:val="32"/>
        </w:rPr>
        <w:t>生产厂房面积大于</w:t>
      </w:r>
      <w:r>
        <w:rPr>
          <w:rFonts w:hint="eastAsia" w:eastAsia="方正仿宋_GBK"/>
          <w:bCs/>
          <w:color w:val="000000"/>
          <w:sz w:val="32"/>
          <w:szCs w:val="32"/>
        </w:rPr>
        <w:t>8</w:t>
      </w:r>
      <w:r>
        <w:rPr>
          <w:rFonts w:eastAsia="方正仿宋_GBK"/>
          <w:bCs/>
          <w:color w:val="000000"/>
          <w:sz w:val="32"/>
          <w:szCs w:val="32"/>
        </w:rPr>
        <w:t>00m</w:t>
      </w:r>
      <w:r>
        <w:rPr>
          <w:rFonts w:eastAsia="方正仿宋_GBK"/>
          <w:bCs/>
          <w:color w:val="000000"/>
          <w:sz w:val="32"/>
          <w:szCs w:val="32"/>
          <w:vertAlign w:val="superscript"/>
        </w:rPr>
        <w:t>2</w:t>
      </w:r>
      <w:r>
        <w:rPr>
          <w:rFonts w:eastAsia="方正仿宋_GBK"/>
          <w:bCs/>
          <w:color w:val="000000"/>
          <w:sz w:val="32"/>
          <w:szCs w:val="32"/>
        </w:rPr>
        <w:t>、停车场面积大于300m</w:t>
      </w:r>
      <w:r>
        <w:rPr>
          <w:rFonts w:eastAsia="方正仿宋_GBK"/>
          <w:bCs/>
          <w:color w:val="000000"/>
          <w:sz w:val="32"/>
          <w:szCs w:val="32"/>
          <w:vertAlign w:val="superscript"/>
        </w:rPr>
        <w:t>2</w:t>
      </w:r>
      <w:r>
        <w:rPr>
          <w:rFonts w:eastAsia="方正仿宋_GBK"/>
          <w:bCs/>
          <w:color w:val="000000"/>
          <w:sz w:val="32"/>
          <w:szCs w:val="32"/>
        </w:rPr>
        <w:t>、客户休息室大于</w:t>
      </w:r>
      <w:r>
        <w:rPr>
          <w:rFonts w:hint="eastAsia" w:eastAsia="方正仿宋_GBK"/>
          <w:bCs/>
          <w:color w:val="000000"/>
          <w:sz w:val="32"/>
          <w:szCs w:val="32"/>
        </w:rPr>
        <w:t>5</w:t>
      </w:r>
      <w:r>
        <w:rPr>
          <w:rFonts w:eastAsia="方正仿宋_GBK"/>
          <w:bCs/>
          <w:color w:val="000000"/>
          <w:sz w:val="32"/>
          <w:szCs w:val="32"/>
        </w:rPr>
        <w:t>0m</w:t>
      </w:r>
      <w:r>
        <w:rPr>
          <w:rFonts w:eastAsia="方正仿宋_GBK"/>
          <w:bCs/>
          <w:color w:val="000000"/>
          <w:sz w:val="32"/>
          <w:szCs w:val="32"/>
          <w:vertAlign w:val="superscript"/>
        </w:rPr>
        <w:t>2</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eastAsia="方正黑体_GBK"/>
          <w:bCs/>
          <w:color w:val="000000"/>
          <w:sz w:val="32"/>
          <w:szCs w:val="32"/>
        </w:rPr>
        <w:t>（三）三星级企业</w:t>
      </w:r>
      <w:r>
        <w:rPr>
          <w:rFonts w:hint="eastAsia" w:eastAsia="方正黑体_GBK"/>
          <w:bCs/>
          <w:color w:val="000000"/>
          <w:sz w:val="32"/>
          <w:szCs w:val="32"/>
        </w:rPr>
        <w:t xml:space="preserve">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1</w:t>
      </w:r>
      <w:r>
        <w:rPr>
          <w:rFonts w:hint="eastAsia" w:eastAsia="方正仿宋_GBK"/>
          <w:bCs/>
          <w:color w:val="000000"/>
          <w:sz w:val="32"/>
          <w:szCs w:val="32"/>
        </w:rPr>
        <w:t>．</w:t>
      </w:r>
      <w:r>
        <w:rPr>
          <w:rFonts w:eastAsia="方正仿宋_GBK"/>
          <w:bCs/>
          <w:color w:val="000000"/>
          <w:sz w:val="32"/>
          <w:szCs w:val="32"/>
        </w:rPr>
        <w:t>评定周期内连续</w:t>
      </w:r>
      <w:r>
        <w:rPr>
          <w:rFonts w:hint="eastAsia" w:eastAsia="方正仿宋_GBK"/>
          <w:bCs/>
          <w:color w:val="000000"/>
          <w:sz w:val="32"/>
          <w:szCs w:val="32"/>
        </w:rPr>
        <w:t>2</w:t>
      </w:r>
      <w:r>
        <w:rPr>
          <w:rFonts w:eastAsia="方正仿宋_GBK"/>
          <w:bCs/>
          <w:color w:val="000000"/>
          <w:sz w:val="32"/>
          <w:szCs w:val="32"/>
        </w:rPr>
        <w:t>年服务质量等级评定得分</w:t>
      </w:r>
      <w:r>
        <w:rPr>
          <w:rFonts w:hint="eastAsia" w:eastAsia="方正仿宋_GBK"/>
          <w:bCs/>
          <w:color w:val="000000"/>
          <w:sz w:val="32"/>
          <w:szCs w:val="32"/>
        </w:rPr>
        <w:t>均</w:t>
      </w:r>
      <w:r>
        <w:rPr>
          <w:rFonts w:eastAsia="方正仿宋_GBK"/>
          <w:bCs/>
          <w:color w:val="000000"/>
          <w:sz w:val="32"/>
          <w:szCs w:val="32"/>
        </w:rPr>
        <w:t>为</w:t>
      </w:r>
      <w:r>
        <w:rPr>
          <w:rFonts w:hint="eastAsia" w:eastAsia="方正仿宋_GBK"/>
          <w:bCs/>
          <w:color w:val="000000"/>
          <w:sz w:val="32"/>
          <w:szCs w:val="32"/>
        </w:rPr>
        <w:t>85</w:t>
      </w:r>
      <w:r>
        <w:rPr>
          <w:rFonts w:eastAsia="方正仿宋_GBK"/>
          <w:bCs/>
          <w:color w:val="000000"/>
          <w:sz w:val="32"/>
          <w:szCs w:val="32"/>
        </w:rPr>
        <w:t>0分以上；</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2</w:t>
      </w:r>
      <w:r>
        <w:rPr>
          <w:rFonts w:hint="eastAsia" w:eastAsia="方正仿宋_GBK"/>
          <w:bCs/>
          <w:color w:val="000000"/>
          <w:sz w:val="32"/>
          <w:szCs w:val="32"/>
        </w:rPr>
        <w:t>．</w:t>
      </w:r>
      <w:r>
        <w:rPr>
          <w:rFonts w:eastAsia="方正仿宋_GBK"/>
          <w:bCs/>
          <w:color w:val="000000"/>
          <w:sz w:val="32"/>
          <w:szCs w:val="32"/>
        </w:rPr>
        <w:t>评定周期内连续2年信用评价</w:t>
      </w:r>
      <w:r>
        <w:rPr>
          <w:rFonts w:hint="eastAsia" w:eastAsia="方正仿宋_GBK"/>
          <w:bCs/>
          <w:color w:val="000000"/>
          <w:sz w:val="32"/>
          <w:szCs w:val="32"/>
        </w:rPr>
        <w:t>等级</w:t>
      </w:r>
      <w:r>
        <w:rPr>
          <w:rFonts w:eastAsia="方正仿宋_GBK"/>
          <w:bCs/>
          <w:color w:val="000000"/>
          <w:sz w:val="32"/>
          <w:szCs w:val="32"/>
        </w:rPr>
        <w:t>均为A级以上；</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3</w:t>
      </w:r>
      <w:r>
        <w:rPr>
          <w:rFonts w:hint="eastAsia" w:eastAsia="方正仿宋_GBK"/>
          <w:bCs/>
          <w:color w:val="000000"/>
          <w:sz w:val="32"/>
          <w:szCs w:val="32"/>
        </w:rPr>
        <w:t>．</w:t>
      </w:r>
      <w:r>
        <w:rPr>
          <w:rFonts w:eastAsia="方正仿宋_GBK"/>
          <w:bCs/>
          <w:color w:val="000000"/>
          <w:sz w:val="32"/>
          <w:szCs w:val="32"/>
        </w:rPr>
        <w:t>生产厂房面积大于</w:t>
      </w:r>
      <w:r>
        <w:rPr>
          <w:rFonts w:hint="eastAsia" w:eastAsia="方正仿宋_GBK"/>
          <w:bCs/>
          <w:color w:val="000000"/>
          <w:sz w:val="32"/>
          <w:szCs w:val="32"/>
        </w:rPr>
        <w:t>70</w:t>
      </w:r>
      <w:r>
        <w:rPr>
          <w:rFonts w:eastAsia="方正仿宋_GBK"/>
          <w:bCs/>
          <w:color w:val="000000"/>
          <w:sz w:val="32"/>
          <w:szCs w:val="32"/>
        </w:rPr>
        <w:t>0m</w:t>
      </w:r>
      <w:r>
        <w:rPr>
          <w:rFonts w:eastAsia="方正仿宋_GBK"/>
          <w:bCs/>
          <w:color w:val="000000"/>
          <w:sz w:val="32"/>
          <w:szCs w:val="32"/>
          <w:vertAlign w:val="superscript"/>
        </w:rPr>
        <w:t>2</w:t>
      </w:r>
      <w:r>
        <w:rPr>
          <w:rFonts w:eastAsia="方正仿宋_GBK"/>
          <w:bCs/>
          <w:color w:val="000000"/>
          <w:sz w:val="32"/>
          <w:szCs w:val="32"/>
        </w:rPr>
        <w:t>、停车场面积大于</w:t>
      </w:r>
      <w:r>
        <w:rPr>
          <w:rFonts w:hint="eastAsia" w:eastAsia="方正仿宋_GBK"/>
          <w:bCs/>
          <w:color w:val="000000"/>
          <w:sz w:val="32"/>
          <w:szCs w:val="32"/>
        </w:rPr>
        <w:t>200</w:t>
      </w:r>
      <w:r>
        <w:rPr>
          <w:rFonts w:eastAsia="方正仿宋_GBK"/>
          <w:bCs/>
          <w:color w:val="000000"/>
          <w:sz w:val="32"/>
          <w:szCs w:val="32"/>
        </w:rPr>
        <w:t>m</w:t>
      </w:r>
      <w:r>
        <w:rPr>
          <w:rFonts w:eastAsia="方正仿宋_GBK"/>
          <w:bCs/>
          <w:color w:val="000000"/>
          <w:sz w:val="32"/>
          <w:szCs w:val="32"/>
          <w:vertAlign w:val="superscript"/>
        </w:rPr>
        <w:t>2</w:t>
      </w:r>
      <w:r>
        <w:rPr>
          <w:rFonts w:eastAsia="方正仿宋_GBK"/>
          <w:bCs/>
          <w:color w:val="000000"/>
          <w:sz w:val="32"/>
          <w:szCs w:val="32"/>
        </w:rPr>
        <w:t>、客户休息室大于</w:t>
      </w:r>
      <w:r>
        <w:rPr>
          <w:rFonts w:hint="eastAsia" w:eastAsia="方正仿宋_GBK"/>
          <w:bCs/>
          <w:color w:val="000000"/>
          <w:sz w:val="32"/>
          <w:szCs w:val="32"/>
        </w:rPr>
        <w:t>40</w:t>
      </w:r>
      <w:r>
        <w:rPr>
          <w:rFonts w:eastAsia="方正仿宋_GBK"/>
          <w:bCs/>
          <w:color w:val="000000"/>
          <w:sz w:val="32"/>
          <w:szCs w:val="32"/>
        </w:rPr>
        <w:t>m</w:t>
      </w:r>
      <w:r>
        <w:rPr>
          <w:rFonts w:eastAsia="方正仿宋_GBK"/>
          <w:bCs/>
          <w:color w:val="000000"/>
          <w:sz w:val="32"/>
          <w:szCs w:val="32"/>
          <w:vertAlign w:val="superscript"/>
        </w:rPr>
        <w:t>2</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第十条</w:t>
      </w:r>
      <w:r>
        <w:rPr>
          <w:rFonts w:eastAsia="方正黑体_GBK"/>
          <w:bCs/>
          <w:color w:val="000000"/>
          <w:sz w:val="32"/>
          <w:szCs w:val="32"/>
        </w:rPr>
        <w:t xml:space="preserve"> </w:t>
      </w:r>
      <w:r>
        <w:rPr>
          <w:rFonts w:hint="eastAsia" w:eastAsia="方正黑体_GBK"/>
          <w:bCs/>
          <w:color w:val="000000"/>
          <w:sz w:val="32"/>
          <w:szCs w:val="32"/>
        </w:rPr>
        <w:t xml:space="preserve"> </w:t>
      </w:r>
      <w:r>
        <w:rPr>
          <w:rFonts w:hint="eastAsia" w:eastAsia="方正仿宋_GBK"/>
          <w:bCs/>
          <w:color w:val="000000"/>
          <w:sz w:val="32"/>
          <w:szCs w:val="32"/>
        </w:rPr>
        <w:t>三类汽车维修企业申请参加三</w:t>
      </w:r>
      <w:r>
        <w:rPr>
          <w:rFonts w:eastAsia="方正仿宋_GBK"/>
          <w:bCs/>
          <w:color w:val="000000"/>
          <w:sz w:val="32"/>
          <w:szCs w:val="32"/>
        </w:rPr>
        <w:t>星级</w:t>
      </w:r>
      <w:r>
        <w:rPr>
          <w:rFonts w:hint="eastAsia" w:eastAsia="方正仿宋_GBK"/>
          <w:bCs/>
          <w:color w:val="000000"/>
          <w:sz w:val="32"/>
          <w:szCs w:val="32"/>
        </w:rPr>
        <w:t>维修</w:t>
      </w:r>
      <w:r>
        <w:rPr>
          <w:rFonts w:eastAsia="方正仿宋_GBK"/>
          <w:bCs/>
          <w:color w:val="000000"/>
          <w:sz w:val="32"/>
          <w:szCs w:val="32"/>
        </w:rPr>
        <w:t>企业</w:t>
      </w:r>
      <w:r>
        <w:rPr>
          <w:rFonts w:hint="eastAsia" w:eastAsia="方正仿宋_GBK"/>
          <w:bCs/>
          <w:color w:val="000000"/>
          <w:sz w:val="32"/>
          <w:szCs w:val="32"/>
        </w:rPr>
        <w:t>评定应当符合下列</w:t>
      </w:r>
      <w:r>
        <w:rPr>
          <w:rFonts w:eastAsia="方正仿宋_GBK"/>
          <w:bCs/>
          <w:color w:val="000000"/>
          <w:sz w:val="32"/>
          <w:szCs w:val="32"/>
        </w:rPr>
        <w:t>条件：</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（一）</w:t>
      </w:r>
      <w:r>
        <w:rPr>
          <w:rFonts w:eastAsia="方正仿宋_GBK"/>
          <w:bCs/>
          <w:color w:val="000000"/>
          <w:sz w:val="32"/>
          <w:szCs w:val="32"/>
        </w:rPr>
        <w:t>评定周期内连续</w:t>
      </w:r>
      <w:r>
        <w:rPr>
          <w:rFonts w:hint="eastAsia" w:eastAsia="方正仿宋_GBK"/>
          <w:bCs/>
          <w:color w:val="000000"/>
          <w:sz w:val="32"/>
          <w:szCs w:val="32"/>
        </w:rPr>
        <w:t>2</w:t>
      </w:r>
      <w:r>
        <w:rPr>
          <w:rFonts w:eastAsia="方正仿宋_GBK"/>
          <w:bCs/>
          <w:color w:val="000000"/>
          <w:sz w:val="32"/>
          <w:szCs w:val="32"/>
        </w:rPr>
        <w:t>年服务质量等级评定得分</w:t>
      </w:r>
      <w:r>
        <w:rPr>
          <w:rFonts w:hint="eastAsia" w:eastAsia="方正仿宋_GBK"/>
          <w:bCs/>
          <w:color w:val="000000"/>
          <w:sz w:val="32"/>
          <w:szCs w:val="32"/>
        </w:rPr>
        <w:t>均</w:t>
      </w:r>
      <w:r>
        <w:rPr>
          <w:rFonts w:eastAsia="方正仿宋_GBK"/>
          <w:bCs/>
          <w:color w:val="000000"/>
          <w:sz w:val="32"/>
          <w:szCs w:val="32"/>
        </w:rPr>
        <w:t>为</w:t>
      </w:r>
      <w:r>
        <w:rPr>
          <w:rFonts w:hint="eastAsia" w:eastAsia="方正仿宋_GBK"/>
          <w:bCs/>
          <w:color w:val="000000"/>
          <w:sz w:val="32"/>
          <w:szCs w:val="32"/>
        </w:rPr>
        <w:t>900</w:t>
      </w:r>
      <w:r>
        <w:rPr>
          <w:rFonts w:eastAsia="方正仿宋_GBK"/>
          <w:bCs/>
          <w:color w:val="000000"/>
          <w:sz w:val="32"/>
          <w:szCs w:val="32"/>
        </w:rPr>
        <w:t>分以上；</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（二）</w:t>
      </w:r>
      <w:r>
        <w:rPr>
          <w:rFonts w:eastAsia="方正仿宋_GBK"/>
          <w:bCs/>
          <w:color w:val="000000"/>
          <w:sz w:val="32"/>
          <w:szCs w:val="32"/>
        </w:rPr>
        <w:t>评定周期内信用评价</w:t>
      </w:r>
      <w:r>
        <w:rPr>
          <w:rFonts w:hint="eastAsia" w:eastAsia="方正仿宋_GBK"/>
          <w:bCs/>
          <w:color w:val="000000"/>
          <w:sz w:val="32"/>
          <w:szCs w:val="32"/>
        </w:rPr>
        <w:t>等级</w:t>
      </w:r>
      <w:r>
        <w:rPr>
          <w:rFonts w:eastAsia="方正仿宋_GBK"/>
          <w:bCs/>
          <w:color w:val="000000"/>
          <w:sz w:val="32"/>
          <w:szCs w:val="32"/>
        </w:rPr>
        <w:t>为A级以上且</w:t>
      </w:r>
      <w:r>
        <w:rPr>
          <w:rFonts w:hint="eastAsia" w:eastAsia="方正仿宋_GBK"/>
          <w:bCs/>
          <w:color w:val="000000"/>
          <w:sz w:val="32"/>
          <w:szCs w:val="32"/>
        </w:rPr>
        <w:t>至少有1年</w:t>
      </w:r>
      <w:r>
        <w:rPr>
          <w:rFonts w:eastAsia="方正仿宋_GBK"/>
          <w:bCs/>
          <w:color w:val="000000"/>
          <w:sz w:val="32"/>
          <w:szCs w:val="32"/>
        </w:rPr>
        <w:t>为AA级</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第十一条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星级</w:t>
      </w:r>
      <w:r>
        <w:rPr>
          <w:rFonts w:hint="eastAsia" w:eastAsia="方正仿宋_GBK"/>
          <w:bCs/>
          <w:color w:val="000000"/>
          <w:sz w:val="32"/>
          <w:szCs w:val="32"/>
        </w:rPr>
        <w:t>维修</w:t>
      </w:r>
      <w:r>
        <w:rPr>
          <w:rFonts w:eastAsia="方正仿宋_GBK"/>
          <w:bCs/>
          <w:color w:val="000000"/>
          <w:sz w:val="32"/>
          <w:szCs w:val="32"/>
        </w:rPr>
        <w:t>企业</w:t>
      </w:r>
      <w:r>
        <w:rPr>
          <w:rFonts w:hint="eastAsia" w:eastAsia="方正仿宋_GBK"/>
          <w:bCs/>
          <w:color w:val="000000"/>
          <w:sz w:val="32"/>
          <w:szCs w:val="32"/>
        </w:rPr>
        <w:t>评定采取年度服务质量评定和集中核查评定相结合的方式进行，评定总分按年度服务质量等级评定分值（即近两年服务质量等级评定得分的平均值）的40%和集中核查评定分值的60%计算。</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eastAsia="方正仿宋_GBK"/>
          <w:bCs/>
          <w:color w:val="000000"/>
          <w:sz w:val="32"/>
          <w:szCs w:val="32"/>
        </w:rPr>
        <w:t>一、二类汽车维修企业符合本办法第九条相应条件，评定总分950分以上的可以评为五星级，900分以上的可以评为四星级，850分以上的可以评为三星级。</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eastAsia="方正仿宋_GBK"/>
          <w:bCs/>
          <w:color w:val="000000"/>
          <w:sz w:val="32"/>
          <w:szCs w:val="32"/>
        </w:rPr>
        <w:t>三类汽车维修企业集中核查评定</w:t>
      </w:r>
      <w:r>
        <w:rPr>
          <w:rFonts w:eastAsia="方正仿宋_GBK"/>
          <w:bCs/>
          <w:color w:val="000000"/>
          <w:sz w:val="32"/>
          <w:szCs w:val="32"/>
        </w:rPr>
        <w:t>标准</w:t>
      </w:r>
      <w:r>
        <w:rPr>
          <w:rFonts w:hint="eastAsia" w:eastAsia="方正仿宋_GBK"/>
          <w:bCs/>
          <w:color w:val="000000"/>
          <w:sz w:val="32"/>
          <w:szCs w:val="32"/>
        </w:rPr>
        <w:t>参照《一、二类汽车维修企业服务质量评定标准》</w:t>
      </w:r>
      <w:r>
        <w:rPr>
          <w:rFonts w:eastAsia="方正仿宋_GBK"/>
          <w:bCs/>
          <w:color w:val="000000"/>
          <w:sz w:val="32"/>
          <w:szCs w:val="32"/>
        </w:rPr>
        <w:t>执行</w:t>
      </w:r>
      <w:r>
        <w:rPr>
          <w:rFonts w:hint="eastAsia" w:eastAsia="方正仿宋_GBK"/>
          <w:bCs/>
          <w:color w:val="000000"/>
          <w:sz w:val="32"/>
          <w:szCs w:val="32"/>
        </w:rPr>
        <w:t>，符合本办法第十条相应条件，评定总分900分以上的可以评为三星级。</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hint="eastAsia" w:ascii="方正楷体_GBK" w:eastAsia="方正黑体_GBK"/>
          <w:bCs/>
          <w:color w:val="000000"/>
          <w:sz w:val="32"/>
          <w:szCs w:val="32"/>
        </w:rPr>
        <w:t>第十二条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评定周期内</w:t>
      </w:r>
      <w:r>
        <w:rPr>
          <w:rFonts w:hint="eastAsia" w:eastAsia="方正仿宋_GBK"/>
          <w:bCs/>
          <w:color w:val="000000"/>
          <w:sz w:val="32"/>
          <w:szCs w:val="32"/>
        </w:rPr>
        <w:t>机动车</w:t>
      </w:r>
      <w:r>
        <w:rPr>
          <w:rFonts w:eastAsia="方正仿宋_GBK"/>
          <w:bCs/>
          <w:color w:val="000000"/>
          <w:sz w:val="32"/>
          <w:szCs w:val="32"/>
        </w:rPr>
        <w:t>维修企业有下列</w:t>
      </w:r>
      <w:r>
        <w:rPr>
          <w:rFonts w:hint="eastAsia" w:eastAsia="方正仿宋_GBK"/>
          <w:bCs/>
          <w:color w:val="000000"/>
          <w:sz w:val="32"/>
          <w:szCs w:val="32"/>
        </w:rPr>
        <w:t>行为</w:t>
      </w:r>
      <w:r>
        <w:rPr>
          <w:rFonts w:eastAsia="方正仿宋_GBK"/>
          <w:bCs/>
          <w:color w:val="000000"/>
          <w:sz w:val="32"/>
          <w:szCs w:val="32"/>
        </w:rPr>
        <w:t>之一的</w:t>
      </w:r>
      <w:r>
        <w:rPr>
          <w:rFonts w:hint="eastAsia" w:eastAsia="方正仿宋_GBK"/>
          <w:bCs/>
          <w:color w:val="000000"/>
          <w:sz w:val="32"/>
          <w:szCs w:val="32"/>
        </w:rPr>
        <w:t>，</w:t>
      </w:r>
      <w:r>
        <w:rPr>
          <w:rFonts w:eastAsia="方正仿宋_GBK"/>
          <w:bCs/>
          <w:color w:val="000000"/>
          <w:sz w:val="32"/>
          <w:szCs w:val="32"/>
        </w:rPr>
        <w:t>不能评定</w:t>
      </w:r>
      <w:r>
        <w:rPr>
          <w:rFonts w:hint="eastAsia" w:eastAsia="方正仿宋_GBK"/>
          <w:bCs/>
          <w:color w:val="000000"/>
          <w:sz w:val="32"/>
          <w:szCs w:val="32"/>
        </w:rPr>
        <w:t>为</w:t>
      </w:r>
      <w:r>
        <w:rPr>
          <w:rFonts w:eastAsia="方正仿宋_GBK"/>
          <w:bCs/>
          <w:color w:val="000000"/>
          <w:sz w:val="32"/>
          <w:szCs w:val="32"/>
        </w:rPr>
        <w:t>星级</w:t>
      </w:r>
      <w:r>
        <w:rPr>
          <w:rFonts w:hint="eastAsia" w:eastAsia="方正仿宋_GBK"/>
          <w:bCs/>
          <w:color w:val="000000"/>
          <w:sz w:val="32"/>
          <w:szCs w:val="32"/>
        </w:rPr>
        <w:t>维修企业</w:t>
      </w:r>
      <w:r>
        <w:rPr>
          <w:rFonts w:eastAsia="方正仿宋_GBK"/>
          <w:bCs/>
          <w:color w:val="000000"/>
          <w:sz w:val="32"/>
          <w:szCs w:val="32"/>
        </w:rPr>
        <w:t xml:space="preserve">：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（一）</w:t>
      </w:r>
      <w:r>
        <w:rPr>
          <w:rFonts w:hint="eastAsia" w:eastAsia="方正仿宋_GBK"/>
          <w:bCs/>
          <w:color w:val="000000"/>
          <w:sz w:val="32"/>
          <w:szCs w:val="32"/>
        </w:rPr>
        <w:t>评定过程中</w:t>
      </w:r>
      <w:r>
        <w:rPr>
          <w:rFonts w:eastAsia="方正仿宋_GBK"/>
          <w:bCs/>
          <w:color w:val="000000"/>
          <w:sz w:val="32"/>
          <w:szCs w:val="32"/>
        </w:rPr>
        <w:t>采取不正当手段干扰、</w:t>
      </w:r>
      <w:r>
        <w:rPr>
          <w:rFonts w:hint="eastAsia" w:eastAsia="方正仿宋_GBK"/>
          <w:bCs/>
          <w:color w:val="000000"/>
          <w:sz w:val="32"/>
          <w:szCs w:val="32"/>
        </w:rPr>
        <w:t>贿赂</w:t>
      </w:r>
      <w:r>
        <w:rPr>
          <w:rFonts w:eastAsia="方正仿宋_GBK"/>
          <w:bCs/>
          <w:color w:val="000000"/>
          <w:sz w:val="32"/>
          <w:szCs w:val="32"/>
        </w:rPr>
        <w:t>工作人员影响其公平公正履行职责取得评定结果的；</w:t>
      </w:r>
    </w:p>
    <w:p>
      <w:pPr>
        <w:keepNext w:val="0"/>
        <w:keepLines w:val="0"/>
        <w:pageBreakBefore w:val="0"/>
        <w:kinsoku/>
        <w:wordWrap/>
        <w:overflowPunct/>
        <w:topLinePunct w:val="0"/>
        <w:autoSpaceDE/>
        <w:autoSpaceDN/>
        <w:bidi w:val="0"/>
        <w:spacing w:line="570" w:lineRule="exact"/>
        <w:rPr>
          <w:rFonts w:eastAsia="方正仿宋_GBK"/>
          <w:bCs/>
          <w:color w:val="000000"/>
          <w:sz w:val="32"/>
          <w:szCs w:val="32"/>
        </w:rPr>
      </w:pPr>
      <w:r>
        <w:rPr>
          <w:rFonts w:hint="eastAsia" w:eastAsia="方正仿宋_GBK"/>
          <w:bCs/>
          <w:color w:val="000000"/>
          <w:sz w:val="32"/>
          <w:szCs w:val="32"/>
        </w:rPr>
        <w:t xml:space="preserve">    （二）评定过程中隐瞒真实情况或提供虚假材料的；</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eastAsia="方正仿宋_GBK"/>
          <w:bCs/>
          <w:color w:val="000000"/>
          <w:sz w:val="32"/>
          <w:szCs w:val="32"/>
        </w:rPr>
        <w:t>（三）因经营行为或服务质量受到市场监管、环境保护、应急管理、公安等部门行政处罚的；</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四</w:t>
      </w:r>
      <w:r>
        <w:rPr>
          <w:rFonts w:eastAsia="方正仿宋_GBK"/>
          <w:bCs/>
          <w:color w:val="000000"/>
          <w:sz w:val="32"/>
          <w:szCs w:val="32"/>
        </w:rPr>
        <w:t>）通过“信用中国”网站</w:t>
      </w:r>
      <w:r>
        <w:rPr>
          <w:rFonts w:hint="eastAsia" w:eastAsia="方正仿宋_GBK"/>
          <w:bCs/>
          <w:color w:val="000000"/>
          <w:sz w:val="32"/>
          <w:szCs w:val="32"/>
        </w:rPr>
        <w:t>、</w:t>
      </w:r>
      <w:r>
        <w:rPr>
          <w:rFonts w:eastAsia="方正仿宋_GBK"/>
          <w:bCs/>
          <w:color w:val="000000"/>
          <w:sz w:val="32"/>
          <w:szCs w:val="32"/>
        </w:rPr>
        <w:t>“国家企业信用信息公示系统”等信用信息应用系统核查有不良记录的</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eastAsia="方正仿宋_GBK"/>
          <w:bCs/>
          <w:color w:val="000000"/>
          <w:sz w:val="32"/>
          <w:szCs w:val="32"/>
        </w:rPr>
        <w:t>（五）其他不符合评定要求的。</w:t>
      </w:r>
    </w:p>
    <w:p>
      <w:pPr>
        <w:keepNext w:val="0"/>
        <w:keepLines w:val="0"/>
        <w:pageBreakBefore w:val="0"/>
        <w:kinsoku/>
        <w:wordWrap/>
        <w:overflowPunct/>
        <w:topLinePunct w:val="0"/>
        <w:autoSpaceDE/>
        <w:autoSpaceDN/>
        <w:bidi w:val="0"/>
        <w:spacing w:line="570" w:lineRule="exact"/>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jc w:val="center"/>
        <w:rPr>
          <w:rFonts w:hint="eastAsia" w:eastAsia="方正黑体_GBK"/>
          <w:bCs/>
          <w:color w:val="000000"/>
          <w:sz w:val="32"/>
          <w:szCs w:val="32"/>
        </w:rPr>
      </w:pPr>
      <w:r>
        <w:rPr>
          <w:rFonts w:hint="eastAsia" w:eastAsia="方正黑体_GBK"/>
          <w:bCs/>
          <w:color w:val="000000"/>
          <w:sz w:val="32"/>
          <w:szCs w:val="32"/>
        </w:rPr>
        <w:t>第三章  组织和管理</w:t>
      </w:r>
    </w:p>
    <w:p>
      <w:pPr>
        <w:keepNext w:val="0"/>
        <w:keepLines w:val="0"/>
        <w:pageBreakBefore w:val="0"/>
        <w:kinsoku/>
        <w:wordWrap/>
        <w:overflowPunct/>
        <w:topLinePunct w:val="0"/>
        <w:autoSpaceDE/>
        <w:autoSpaceDN/>
        <w:bidi w:val="0"/>
        <w:spacing w:line="570" w:lineRule="exact"/>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第十三条</w:t>
      </w:r>
      <w:r>
        <w:rPr>
          <w:rFonts w:hint="eastAsia" w:eastAsia="方正黑体_GBK"/>
          <w:bCs/>
          <w:color w:val="000000"/>
          <w:sz w:val="32"/>
          <w:szCs w:val="32"/>
        </w:rPr>
        <w:t xml:space="preserve"> </w:t>
      </w:r>
      <w:r>
        <w:rPr>
          <w:rFonts w:eastAsia="方正仿宋_GBK"/>
          <w:bCs/>
          <w:color w:val="000000"/>
          <w:sz w:val="32"/>
          <w:szCs w:val="32"/>
        </w:rPr>
        <w:t xml:space="preserve"> 机动车维修企业服务质量等级</w:t>
      </w:r>
      <w:r>
        <w:rPr>
          <w:rFonts w:hint="eastAsia" w:eastAsia="方正仿宋_GBK"/>
          <w:bCs/>
          <w:color w:val="000000"/>
          <w:sz w:val="32"/>
          <w:szCs w:val="32"/>
        </w:rPr>
        <w:t>评定每年开展一次，以自然年为评定周期；星级维修企业评定每两年开展一次，以两个自然年为评定周期。</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pacing w:val="-10"/>
          <w:sz w:val="32"/>
          <w:szCs w:val="32"/>
        </w:rPr>
      </w:pPr>
      <w:r>
        <w:rPr>
          <w:rFonts w:eastAsia="方正仿宋_GBK"/>
          <w:bCs/>
          <w:color w:val="000000"/>
          <w:sz w:val="32"/>
          <w:szCs w:val="32"/>
        </w:rPr>
        <w:t>星</w:t>
      </w:r>
      <w:r>
        <w:rPr>
          <w:rFonts w:eastAsia="方正仿宋_GBK"/>
          <w:bCs/>
          <w:color w:val="000000"/>
          <w:spacing w:val="-10"/>
          <w:sz w:val="32"/>
          <w:szCs w:val="32"/>
        </w:rPr>
        <w:t>级维修企业</w:t>
      </w:r>
      <w:r>
        <w:rPr>
          <w:rFonts w:hint="eastAsia" w:eastAsia="方正仿宋_GBK"/>
          <w:bCs/>
          <w:color w:val="000000"/>
          <w:spacing w:val="-10"/>
          <w:sz w:val="32"/>
          <w:szCs w:val="32"/>
        </w:rPr>
        <w:t>称号</w:t>
      </w:r>
      <w:r>
        <w:rPr>
          <w:rFonts w:eastAsia="方正仿宋_GBK"/>
          <w:bCs/>
          <w:color w:val="000000"/>
          <w:spacing w:val="-10"/>
          <w:sz w:val="32"/>
          <w:szCs w:val="32"/>
        </w:rPr>
        <w:t>有效期为两年，两年以后应当重新申请评定。</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 xml:space="preserve">第十四条 </w:t>
      </w:r>
      <w:r>
        <w:rPr>
          <w:rFonts w:eastAsia="方正仿宋_GBK"/>
          <w:bCs/>
          <w:color w:val="000000"/>
          <w:sz w:val="32"/>
          <w:szCs w:val="32"/>
        </w:rPr>
        <w:t xml:space="preserve"> 星级</w:t>
      </w:r>
      <w:r>
        <w:rPr>
          <w:rFonts w:hint="eastAsia" w:eastAsia="方正仿宋_GBK"/>
          <w:bCs/>
          <w:color w:val="000000"/>
          <w:sz w:val="32"/>
          <w:szCs w:val="32"/>
        </w:rPr>
        <w:t>维修企业的</w:t>
      </w:r>
      <w:r>
        <w:rPr>
          <w:rFonts w:eastAsia="方正仿宋_GBK"/>
          <w:bCs/>
          <w:color w:val="000000"/>
          <w:sz w:val="32"/>
          <w:szCs w:val="32"/>
        </w:rPr>
        <w:t>集中核查评定</w:t>
      </w:r>
      <w:r>
        <w:rPr>
          <w:rFonts w:hint="eastAsia" w:eastAsia="方正仿宋_GBK"/>
          <w:bCs/>
          <w:color w:val="000000"/>
          <w:sz w:val="32"/>
          <w:szCs w:val="32"/>
        </w:rPr>
        <w:t>由评定</w:t>
      </w:r>
      <w:r>
        <w:rPr>
          <w:rFonts w:eastAsia="方正仿宋_GBK"/>
          <w:bCs/>
          <w:color w:val="000000"/>
          <w:sz w:val="32"/>
          <w:szCs w:val="32"/>
        </w:rPr>
        <w:t>专家</w:t>
      </w:r>
      <w:r>
        <w:rPr>
          <w:rFonts w:hint="eastAsia" w:eastAsia="方正仿宋_GBK"/>
          <w:bCs/>
          <w:color w:val="000000"/>
          <w:sz w:val="32"/>
          <w:szCs w:val="32"/>
        </w:rPr>
        <w:t xml:space="preserve">委员会具体负责实施。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专家</w:t>
      </w:r>
      <w:r>
        <w:rPr>
          <w:rFonts w:hint="eastAsia" w:eastAsia="方正仿宋_GBK"/>
          <w:bCs/>
          <w:color w:val="000000"/>
          <w:sz w:val="32"/>
          <w:szCs w:val="32"/>
        </w:rPr>
        <w:t>委员会由交通主管部门、道路运输事务中心、行业协会和相关行业专家组成。</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第十五条</w:t>
      </w:r>
      <w:r>
        <w:rPr>
          <w:rFonts w:eastAsia="方正仿宋_GBK"/>
          <w:bCs/>
          <w:color w:val="000000"/>
          <w:sz w:val="32"/>
          <w:szCs w:val="32"/>
        </w:rPr>
        <w:t xml:space="preserve"> </w:t>
      </w:r>
      <w:r>
        <w:rPr>
          <w:rFonts w:hint="eastAsia" w:eastAsia="方正仿宋_GBK"/>
          <w:bCs/>
          <w:color w:val="000000"/>
          <w:sz w:val="32"/>
          <w:szCs w:val="32"/>
        </w:rPr>
        <w:t xml:space="preserve"> </w:t>
      </w:r>
      <w:r>
        <w:rPr>
          <w:rFonts w:eastAsia="方正仿宋_GBK"/>
          <w:bCs/>
          <w:color w:val="000000"/>
          <w:sz w:val="32"/>
          <w:szCs w:val="32"/>
        </w:rPr>
        <w:t>市、区县（自治县</w:t>
      </w:r>
      <w:r>
        <w:rPr>
          <w:rFonts w:hint="eastAsia" w:eastAsia="方正仿宋_GBK"/>
          <w:bCs/>
          <w:color w:val="000000"/>
          <w:sz w:val="32"/>
          <w:szCs w:val="32"/>
        </w:rPr>
        <w:t>，以下简称区县</w:t>
      </w:r>
      <w:r>
        <w:rPr>
          <w:rFonts w:eastAsia="方正仿宋_GBK"/>
          <w:bCs/>
          <w:color w:val="000000"/>
          <w:sz w:val="32"/>
          <w:szCs w:val="32"/>
        </w:rPr>
        <w:t>）交通主管部门负责本行政区域内机动车维修企业服务质量等级</w:t>
      </w:r>
      <w:r>
        <w:rPr>
          <w:rFonts w:hint="eastAsia" w:eastAsia="方正仿宋_GBK"/>
          <w:bCs/>
          <w:color w:val="000000"/>
          <w:sz w:val="32"/>
          <w:szCs w:val="32"/>
        </w:rPr>
        <w:t>和星级</w:t>
      </w:r>
      <w:r>
        <w:rPr>
          <w:rFonts w:eastAsia="方正仿宋_GBK"/>
          <w:bCs/>
          <w:color w:val="000000"/>
          <w:sz w:val="32"/>
          <w:szCs w:val="32"/>
        </w:rPr>
        <w:t>评定的管理工作。</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第十六条</w:t>
      </w:r>
      <w:r>
        <w:rPr>
          <w:rFonts w:hint="eastAsia" w:eastAsia="方正黑体_GBK"/>
          <w:bCs/>
          <w:color w:val="000000"/>
          <w:sz w:val="32"/>
          <w:szCs w:val="32"/>
        </w:rPr>
        <w:t xml:space="preserve"> </w:t>
      </w:r>
      <w:r>
        <w:rPr>
          <w:rFonts w:eastAsia="方正仿宋_GBK"/>
          <w:bCs/>
          <w:color w:val="000000"/>
          <w:sz w:val="32"/>
          <w:szCs w:val="32"/>
        </w:rPr>
        <w:t xml:space="preserve"> 市道路运输事务中心负责全市机动车维修企业服务质量等级</w:t>
      </w:r>
      <w:r>
        <w:rPr>
          <w:rFonts w:hint="eastAsia" w:eastAsia="方正仿宋_GBK"/>
          <w:bCs/>
          <w:color w:val="000000"/>
          <w:sz w:val="32"/>
          <w:szCs w:val="32"/>
        </w:rPr>
        <w:t>和星级</w:t>
      </w:r>
      <w:r>
        <w:rPr>
          <w:rFonts w:eastAsia="方正仿宋_GBK"/>
          <w:bCs/>
          <w:color w:val="000000"/>
          <w:sz w:val="32"/>
          <w:szCs w:val="32"/>
        </w:rPr>
        <w:t xml:space="preserve">评定的统筹协调和组织指导工作，负责组织评定专家委员会开展全市星级维修企业的集中核查评定工作。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区县道路运输事务机构具体负责组织实施本行政区域内机动车维修企业服务质量“达标”和“不达标”等级的年度评定工作。</w:t>
      </w:r>
    </w:p>
    <w:p>
      <w:pPr>
        <w:pStyle w:val="4"/>
        <w:keepNext w:val="0"/>
        <w:keepLines w:val="0"/>
        <w:pageBreakBefore w:val="0"/>
        <w:kinsoku/>
        <w:wordWrap/>
        <w:overflowPunct/>
        <w:topLinePunct w:val="0"/>
        <w:autoSpaceDE/>
        <w:autoSpaceDN/>
        <w:bidi w:val="0"/>
        <w:spacing w:line="570" w:lineRule="exact"/>
        <w:rPr>
          <w:rFonts w:eastAsia="方正仿宋_GBK"/>
          <w:bCs/>
          <w:color w:val="000000"/>
          <w:sz w:val="36"/>
          <w:szCs w:val="36"/>
        </w:rPr>
      </w:pPr>
    </w:p>
    <w:p>
      <w:pPr>
        <w:keepNext w:val="0"/>
        <w:keepLines w:val="0"/>
        <w:pageBreakBefore w:val="0"/>
        <w:kinsoku/>
        <w:wordWrap/>
        <w:overflowPunct/>
        <w:topLinePunct w:val="0"/>
        <w:autoSpaceDE/>
        <w:autoSpaceDN/>
        <w:bidi w:val="0"/>
        <w:spacing w:line="570" w:lineRule="exact"/>
        <w:jc w:val="center"/>
        <w:rPr>
          <w:rFonts w:eastAsia="方正黑体_GBK"/>
          <w:bCs/>
          <w:color w:val="000000"/>
          <w:sz w:val="32"/>
          <w:szCs w:val="32"/>
        </w:rPr>
      </w:pPr>
      <w:r>
        <w:rPr>
          <w:rFonts w:eastAsia="方正黑体_GBK"/>
          <w:bCs/>
          <w:color w:val="000000"/>
          <w:sz w:val="32"/>
          <w:szCs w:val="32"/>
        </w:rPr>
        <w:t>第</w:t>
      </w:r>
      <w:r>
        <w:rPr>
          <w:rFonts w:hint="eastAsia" w:eastAsia="方正黑体_GBK"/>
          <w:bCs/>
          <w:color w:val="000000"/>
          <w:sz w:val="32"/>
          <w:szCs w:val="32"/>
        </w:rPr>
        <w:t>四</w:t>
      </w:r>
      <w:r>
        <w:rPr>
          <w:rFonts w:eastAsia="方正黑体_GBK"/>
          <w:bCs/>
          <w:color w:val="000000"/>
          <w:sz w:val="32"/>
          <w:szCs w:val="32"/>
        </w:rPr>
        <w:t>章</w:t>
      </w:r>
      <w:r>
        <w:rPr>
          <w:rFonts w:hint="eastAsia" w:eastAsia="方正黑体_GBK"/>
          <w:bCs/>
          <w:color w:val="000000"/>
          <w:sz w:val="32"/>
          <w:szCs w:val="32"/>
        </w:rPr>
        <w:t xml:space="preserve">  </w:t>
      </w:r>
      <w:r>
        <w:rPr>
          <w:rFonts w:eastAsia="方正黑体_GBK"/>
          <w:bCs/>
          <w:color w:val="000000"/>
          <w:sz w:val="32"/>
          <w:szCs w:val="32"/>
        </w:rPr>
        <w:t>评定程序</w:t>
      </w:r>
      <w:r>
        <w:rPr>
          <w:rFonts w:hint="eastAsia" w:eastAsia="方正黑体_GBK"/>
          <w:bCs/>
          <w:color w:val="000000"/>
          <w:sz w:val="32"/>
          <w:szCs w:val="32"/>
        </w:rPr>
        <w:t>和方法</w:t>
      </w:r>
    </w:p>
    <w:p>
      <w:pPr>
        <w:keepNext w:val="0"/>
        <w:keepLines w:val="0"/>
        <w:pageBreakBefore w:val="0"/>
        <w:kinsoku/>
        <w:wordWrap/>
        <w:overflowPunct/>
        <w:topLinePunct w:val="0"/>
        <w:autoSpaceDE/>
        <w:autoSpaceDN/>
        <w:bidi w:val="0"/>
        <w:spacing w:line="570" w:lineRule="exact"/>
        <w:ind w:firstLine="640" w:firstLineChars="200"/>
        <w:rPr>
          <w:rFonts w:hint="eastAsia"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第十七条</w:t>
      </w:r>
      <w:r>
        <w:rPr>
          <w:rFonts w:hint="eastAsia" w:eastAsia="方正黑体_GBK"/>
          <w:bCs/>
          <w:color w:val="000000"/>
          <w:sz w:val="32"/>
          <w:szCs w:val="32"/>
        </w:rPr>
        <w:t xml:space="preserve">  </w:t>
      </w:r>
      <w:r>
        <w:rPr>
          <w:rFonts w:eastAsia="方正仿宋_GBK"/>
          <w:bCs/>
          <w:color w:val="000000"/>
          <w:sz w:val="32"/>
          <w:szCs w:val="32"/>
        </w:rPr>
        <w:t>区县道路运输事务机构</w:t>
      </w:r>
      <w:r>
        <w:rPr>
          <w:rFonts w:hint="eastAsia" w:eastAsia="方正仿宋_GBK"/>
          <w:bCs/>
          <w:color w:val="000000"/>
          <w:sz w:val="32"/>
          <w:szCs w:val="32"/>
        </w:rPr>
        <w:t>于每年3</w:t>
      </w:r>
      <w:r>
        <w:rPr>
          <w:rFonts w:eastAsia="方正仿宋_GBK"/>
          <w:bCs/>
          <w:color w:val="000000"/>
          <w:sz w:val="32"/>
          <w:szCs w:val="32"/>
        </w:rPr>
        <w:t>月</w:t>
      </w:r>
      <w:r>
        <w:rPr>
          <w:rFonts w:hint="eastAsia" w:eastAsia="方正仿宋_GBK"/>
          <w:bCs/>
          <w:color w:val="000000"/>
          <w:sz w:val="32"/>
          <w:szCs w:val="32"/>
        </w:rPr>
        <w:t>31日</w:t>
      </w:r>
      <w:r>
        <w:rPr>
          <w:rFonts w:eastAsia="方正仿宋_GBK"/>
          <w:bCs/>
          <w:color w:val="000000"/>
          <w:sz w:val="32"/>
          <w:szCs w:val="32"/>
        </w:rPr>
        <w:t>前</w:t>
      </w:r>
      <w:r>
        <w:rPr>
          <w:rFonts w:hint="eastAsia" w:eastAsia="方正仿宋_GBK"/>
          <w:bCs/>
          <w:color w:val="000000"/>
          <w:sz w:val="32"/>
          <w:szCs w:val="32"/>
        </w:rPr>
        <w:t>，根据日常监督</w:t>
      </w:r>
      <w:r>
        <w:rPr>
          <w:rFonts w:eastAsia="方正仿宋_GBK"/>
          <w:bCs/>
          <w:color w:val="000000"/>
          <w:sz w:val="32"/>
          <w:szCs w:val="32"/>
        </w:rPr>
        <w:t>检查收集的</w:t>
      </w:r>
      <w:r>
        <w:rPr>
          <w:rFonts w:hint="eastAsia" w:eastAsia="方正仿宋_GBK"/>
          <w:bCs/>
          <w:color w:val="000000"/>
          <w:sz w:val="32"/>
          <w:szCs w:val="32"/>
        </w:rPr>
        <w:t>情况，按照维修企业服务质量等级对应评定标准完成上年度</w:t>
      </w:r>
      <w:r>
        <w:rPr>
          <w:rFonts w:eastAsia="方正仿宋_GBK"/>
          <w:bCs/>
          <w:color w:val="000000"/>
          <w:sz w:val="32"/>
          <w:szCs w:val="32"/>
        </w:rPr>
        <w:t>服务质量等级</w:t>
      </w:r>
      <w:r>
        <w:rPr>
          <w:rFonts w:hint="eastAsia" w:eastAsia="方正仿宋_GBK"/>
          <w:bCs/>
          <w:color w:val="000000"/>
          <w:sz w:val="32"/>
          <w:szCs w:val="32"/>
        </w:rPr>
        <w:t>评定，确定达标企业和不达标企业，评定结果在辖区内按程序公示后公布，并将评定等级和评定得分报送市道路运输事务中心。</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 xml:space="preserve">第十八条 </w:t>
      </w:r>
      <w:r>
        <w:rPr>
          <w:rFonts w:hint="eastAsia" w:eastAsia="方正黑体_GBK"/>
          <w:bCs/>
          <w:color w:val="000000"/>
          <w:sz w:val="32"/>
          <w:szCs w:val="32"/>
        </w:rPr>
        <w:t xml:space="preserve"> </w:t>
      </w:r>
      <w:r>
        <w:rPr>
          <w:rFonts w:hint="eastAsia" w:eastAsia="方正仿宋_GBK"/>
          <w:bCs/>
          <w:color w:val="000000"/>
          <w:sz w:val="32"/>
          <w:szCs w:val="32"/>
        </w:rPr>
        <w:t>自愿申请参加星级评定的维修企业在</w:t>
      </w:r>
      <w:r>
        <w:rPr>
          <w:rFonts w:eastAsia="方正仿宋_GBK"/>
          <w:bCs/>
          <w:color w:val="000000"/>
          <w:sz w:val="32"/>
          <w:szCs w:val="32"/>
        </w:rPr>
        <w:t>评定周期</w:t>
      </w:r>
      <w:r>
        <w:rPr>
          <w:rFonts w:hint="eastAsia" w:eastAsia="方正仿宋_GBK"/>
          <w:bCs/>
          <w:color w:val="000000"/>
          <w:sz w:val="32"/>
          <w:szCs w:val="32"/>
        </w:rPr>
        <w:t>的4</w:t>
      </w:r>
      <w:r>
        <w:rPr>
          <w:rFonts w:eastAsia="方正仿宋_GBK"/>
          <w:bCs/>
          <w:color w:val="000000"/>
          <w:sz w:val="32"/>
          <w:szCs w:val="32"/>
        </w:rPr>
        <w:t>月</w:t>
      </w:r>
      <w:r>
        <w:rPr>
          <w:rFonts w:hint="eastAsia" w:eastAsia="方正仿宋_GBK"/>
          <w:bCs/>
          <w:color w:val="000000"/>
          <w:sz w:val="32"/>
          <w:szCs w:val="32"/>
        </w:rPr>
        <w:t>10日</w:t>
      </w:r>
      <w:r>
        <w:rPr>
          <w:rFonts w:eastAsia="方正仿宋_GBK"/>
          <w:bCs/>
          <w:color w:val="000000"/>
          <w:sz w:val="32"/>
          <w:szCs w:val="32"/>
        </w:rPr>
        <w:t>前</w:t>
      </w:r>
      <w:r>
        <w:rPr>
          <w:rFonts w:hint="eastAsia" w:eastAsia="方正仿宋_GBK"/>
          <w:bCs/>
          <w:color w:val="000000"/>
          <w:sz w:val="32"/>
          <w:szCs w:val="32"/>
        </w:rPr>
        <w:t>，向</w:t>
      </w:r>
      <w:r>
        <w:rPr>
          <w:rFonts w:eastAsia="方正仿宋_GBK"/>
          <w:bCs/>
          <w:color w:val="000000"/>
          <w:sz w:val="32"/>
          <w:szCs w:val="32"/>
        </w:rPr>
        <w:t>区县道路运输事务机构</w:t>
      </w:r>
      <w:r>
        <w:rPr>
          <w:rFonts w:hint="eastAsia" w:eastAsia="方正仿宋_GBK"/>
          <w:bCs/>
          <w:color w:val="000000"/>
          <w:sz w:val="32"/>
          <w:szCs w:val="32"/>
        </w:rPr>
        <w:t>提交《重庆市星级维修企业</w:t>
      </w:r>
      <w:r>
        <w:rPr>
          <w:rFonts w:eastAsia="方正仿宋_GBK"/>
          <w:bCs/>
          <w:color w:val="000000"/>
          <w:sz w:val="32"/>
          <w:szCs w:val="32"/>
        </w:rPr>
        <w:t>评定申</w:t>
      </w:r>
      <w:r>
        <w:rPr>
          <w:rFonts w:hint="eastAsia" w:eastAsia="方正仿宋_GBK"/>
          <w:bCs/>
          <w:color w:val="000000"/>
          <w:sz w:val="32"/>
          <w:szCs w:val="32"/>
        </w:rPr>
        <w:t>请</w:t>
      </w:r>
      <w:r>
        <w:rPr>
          <w:rFonts w:eastAsia="方正仿宋_GBK"/>
          <w:bCs/>
          <w:color w:val="000000"/>
          <w:sz w:val="32"/>
          <w:szCs w:val="32"/>
        </w:rPr>
        <w:t>表</w:t>
      </w:r>
      <w:r>
        <w:rPr>
          <w:rFonts w:hint="eastAsia" w:eastAsia="方正仿宋_GBK"/>
          <w:bCs/>
          <w:color w:val="000000"/>
          <w:sz w:val="32"/>
          <w:szCs w:val="32"/>
        </w:rPr>
        <w:t>》（附件3）。</w:t>
      </w:r>
      <w:r>
        <w:rPr>
          <w:rFonts w:eastAsia="方正仿宋_GBK"/>
          <w:bCs/>
          <w:color w:val="000000"/>
          <w:sz w:val="32"/>
          <w:szCs w:val="32"/>
        </w:rPr>
        <w:t>区县道路运输事务机构</w:t>
      </w:r>
      <w:r>
        <w:rPr>
          <w:rFonts w:hint="eastAsia" w:eastAsia="方正仿宋_GBK"/>
          <w:bCs/>
          <w:color w:val="000000"/>
          <w:sz w:val="32"/>
          <w:szCs w:val="32"/>
        </w:rPr>
        <w:t>根据维修企业上两年度</w:t>
      </w:r>
      <w:r>
        <w:rPr>
          <w:rFonts w:eastAsia="方正仿宋_GBK"/>
          <w:bCs/>
          <w:color w:val="000000"/>
          <w:sz w:val="32"/>
          <w:szCs w:val="32"/>
        </w:rPr>
        <w:t>服务质量等级</w:t>
      </w:r>
      <w:r>
        <w:rPr>
          <w:rFonts w:hint="eastAsia" w:eastAsia="方正仿宋_GBK"/>
          <w:bCs/>
          <w:color w:val="000000"/>
          <w:sz w:val="32"/>
          <w:szCs w:val="32"/>
        </w:rPr>
        <w:t>评定得分和信用评价等级，确定星级维修企业申报名单，经当地交通主管部门审核同意后，于4月20日前汇总报送市道路运输事务中心集中核查评定。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第十九条</w:t>
      </w:r>
      <w:r>
        <w:rPr>
          <w:rFonts w:hint="eastAsia" w:eastAsia="方正黑体_GBK"/>
          <w:bCs/>
          <w:color w:val="000000"/>
          <w:sz w:val="32"/>
          <w:szCs w:val="32"/>
        </w:rPr>
        <w:t xml:space="preserve">  </w:t>
      </w:r>
      <w:r>
        <w:rPr>
          <w:rFonts w:hint="eastAsia" w:eastAsia="方正仿宋_GBK"/>
          <w:bCs/>
          <w:color w:val="000000"/>
          <w:sz w:val="32"/>
          <w:szCs w:val="32"/>
        </w:rPr>
        <w:t>市道路运输事务中心于</w:t>
      </w:r>
      <w:r>
        <w:rPr>
          <w:rFonts w:eastAsia="方正仿宋_GBK"/>
          <w:bCs/>
          <w:color w:val="000000"/>
          <w:sz w:val="32"/>
          <w:szCs w:val="32"/>
        </w:rPr>
        <w:t>评定周期</w:t>
      </w:r>
      <w:r>
        <w:rPr>
          <w:rFonts w:hint="eastAsia" w:eastAsia="方正仿宋_GBK"/>
          <w:bCs/>
          <w:color w:val="000000"/>
          <w:sz w:val="32"/>
          <w:szCs w:val="32"/>
        </w:rPr>
        <w:t>的4月30日前成立评定专家委员会。</w:t>
      </w:r>
      <w:r>
        <w:rPr>
          <w:rFonts w:eastAsia="方正仿宋_GBK"/>
          <w:bCs/>
          <w:color w:val="000000"/>
          <w:sz w:val="32"/>
          <w:szCs w:val="32"/>
        </w:rPr>
        <w:t>专家</w:t>
      </w:r>
      <w:r>
        <w:rPr>
          <w:rFonts w:hint="eastAsia" w:eastAsia="方正仿宋_GBK"/>
          <w:bCs/>
          <w:color w:val="000000"/>
          <w:sz w:val="32"/>
          <w:szCs w:val="32"/>
        </w:rPr>
        <w:t>委员会于5月31日前完成申请评定星级维修企业的集中核查评定，结合年度</w:t>
      </w:r>
      <w:r>
        <w:rPr>
          <w:rFonts w:eastAsia="方正仿宋_GBK"/>
          <w:bCs/>
          <w:color w:val="000000"/>
          <w:sz w:val="32"/>
          <w:szCs w:val="32"/>
        </w:rPr>
        <w:t>服务质量等级</w:t>
      </w:r>
      <w:r>
        <w:rPr>
          <w:rFonts w:hint="eastAsia" w:eastAsia="方正仿宋_GBK"/>
          <w:bCs/>
          <w:color w:val="000000"/>
          <w:sz w:val="32"/>
          <w:szCs w:val="32"/>
        </w:rPr>
        <w:t>评定得分计算</w:t>
      </w:r>
      <w:r>
        <w:rPr>
          <w:rFonts w:eastAsia="方正仿宋_GBK"/>
          <w:bCs/>
          <w:color w:val="000000"/>
          <w:sz w:val="32"/>
          <w:szCs w:val="32"/>
        </w:rPr>
        <w:t>评定</w:t>
      </w:r>
      <w:r>
        <w:rPr>
          <w:rFonts w:hint="eastAsia" w:eastAsia="方正仿宋_GBK"/>
          <w:bCs/>
          <w:color w:val="000000"/>
          <w:sz w:val="32"/>
          <w:szCs w:val="32"/>
        </w:rPr>
        <w:t>总分，按照本办法第七条至第十条相应条件，确定星级维修企业初步评定结果。</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集中核查评定标准按照《一、二类汽车维修企业服务质量评定标准》执行。其中，三类汽车维修企业生产厂房、停车场、接待室面积的要求按照国家标准《汽车维修业开业条件》（GB/T 16739）相关条款的规定执行。</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hint="eastAsia" w:ascii="方正楷体_GBK" w:eastAsia="方正黑体_GBK"/>
          <w:bCs/>
          <w:color w:val="000000"/>
          <w:sz w:val="32"/>
          <w:szCs w:val="32"/>
        </w:rPr>
        <w:t>第二十条</w:t>
      </w:r>
      <w:r>
        <w:rPr>
          <w:rFonts w:hint="eastAsia" w:eastAsia="方正黑体_GBK"/>
          <w:bCs/>
          <w:color w:val="000000"/>
          <w:sz w:val="32"/>
          <w:szCs w:val="32"/>
        </w:rPr>
        <w:t xml:space="preserve">  </w:t>
      </w:r>
      <w:r>
        <w:rPr>
          <w:rFonts w:hint="eastAsia" w:eastAsia="方正仿宋_GBK"/>
          <w:bCs/>
          <w:color w:val="000000"/>
          <w:sz w:val="32"/>
          <w:szCs w:val="32"/>
        </w:rPr>
        <w:t>星级维修企业初步评定结果由市道路运输事务中心汇总审核，并通过市交通局网站集中公示，接受社会监督，公示期为7个工作日。</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pacing w:val="-10"/>
          <w:sz w:val="32"/>
          <w:szCs w:val="32"/>
        </w:rPr>
      </w:pPr>
      <w:r>
        <w:rPr>
          <w:rFonts w:eastAsia="方正仿宋_GBK"/>
          <w:bCs/>
          <w:color w:val="000000"/>
          <w:sz w:val="32"/>
          <w:szCs w:val="32"/>
        </w:rPr>
        <w:t>对</w:t>
      </w:r>
      <w:r>
        <w:rPr>
          <w:rFonts w:hint="eastAsia" w:eastAsia="方正仿宋_GBK"/>
          <w:bCs/>
          <w:color w:val="000000"/>
          <w:sz w:val="32"/>
          <w:szCs w:val="32"/>
        </w:rPr>
        <w:t>初步评定结果</w:t>
      </w:r>
      <w:r>
        <w:rPr>
          <w:rFonts w:eastAsia="方正仿宋_GBK"/>
          <w:bCs/>
          <w:color w:val="000000"/>
          <w:sz w:val="32"/>
          <w:szCs w:val="32"/>
        </w:rPr>
        <w:t>有异议的</w:t>
      </w:r>
      <w:r>
        <w:rPr>
          <w:rFonts w:hint="eastAsia" w:eastAsia="方正仿宋_GBK"/>
          <w:bCs/>
          <w:color w:val="000000"/>
          <w:sz w:val="32"/>
          <w:szCs w:val="32"/>
        </w:rPr>
        <w:t>，</w:t>
      </w:r>
      <w:r>
        <w:rPr>
          <w:rFonts w:eastAsia="方正仿宋_GBK"/>
          <w:bCs/>
          <w:color w:val="000000"/>
          <w:sz w:val="32"/>
          <w:szCs w:val="32"/>
        </w:rPr>
        <w:t>应当在公示期满前向</w:t>
      </w:r>
      <w:r>
        <w:rPr>
          <w:rFonts w:hint="eastAsia" w:eastAsia="方正仿宋_GBK"/>
          <w:bCs/>
          <w:color w:val="000000"/>
          <w:sz w:val="32"/>
          <w:szCs w:val="32"/>
        </w:rPr>
        <w:t>市道路运输事务中心</w:t>
      </w:r>
      <w:r>
        <w:rPr>
          <w:rFonts w:eastAsia="方正仿宋_GBK"/>
          <w:bCs/>
          <w:color w:val="000000"/>
          <w:sz w:val="32"/>
          <w:szCs w:val="32"/>
        </w:rPr>
        <w:t>提出</w:t>
      </w:r>
      <w:r>
        <w:rPr>
          <w:rFonts w:hint="eastAsia" w:eastAsia="方正仿宋_GBK"/>
          <w:bCs/>
          <w:color w:val="000000"/>
          <w:sz w:val="32"/>
          <w:szCs w:val="32"/>
        </w:rPr>
        <w:t>书面申请，</w:t>
      </w:r>
      <w:r>
        <w:rPr>
          <w:rFonts w:eastAsia="方正仿宋_GBK"/>
          <w:bCs/>
          <w:color w:val="000000"/>
          <w:sz w:val="32"/>
          <w:szCs w:val="32"/>
        </w:rPr>
        <w:t>并提供相关资料或证据</w:t>
      </w:r>
      <w:r>
        <w:rPr>
          <w:rFonts w:hint="eastAsia" w:eastAsia="方正仿宋_GBK"/>
          <w:bCs/>
          <w:color w:val="000000"/>
          <w:sz w:val="32"/>
          <w:szCs w:val="32"/>
        </w:rPr>
        <w:t>；市道路运输事务</w:t>
      </w:r>
      <w:r>
        <w:rPr>
          <w:rFonts w:hint="eastAsia" w:eastAsia="方正仿宋_GBK"/>
          <w:bCs/>
          <w:color w:val="000000"/>
          <w:spacing w:val="-10"/>
          <w:sz w:val="32"/>
          <w:szCs w:val="32"/>
        </w:rPr>
        <w:t>中心应当对提出的异议进行核实，经研究后作出是否调整的决定。</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第二十一条</w:t>
      </w:r>
      <w:r>
        <w:rPr>
          <w:rFonts w:hint="eastAsia" w:eastAsia="方正仿宋_GBK"/>
          <w:bCs/>
          <w:color w:val="000000"/>
          <w:sz w:val="32"/>
          <w:szCs w:val="32"/>
        </w:rPr>
        <w:t xml:space="preserve">  市道路运输事务中心应当将星级维修企业评定结果报</w:t>
      </w:r>
      <w:r>
        <w:rPr>
          <w:rFonts w:eastAsia="方正仿宋_GBK"/>
          <w:bCs/>
          <w:color w:val="000000"/>
          <w:sz w:val="32"/>
          <w:szCs w:val="32"/>
        </w:rPr>
        <w:t>市交通局</w:t>
      </w:r>
      <w:r>
        <w:rPr>
          <w:rFonts w:hint="eastAsia" w:eastAsia="方正仿宋_GBK"/>
          <w:bCs/>
          <w:color w:val="000000"/>
          <w:sz w:val="32"/>
          <w:szCs w:val="32"/>
        </w:rPr>
        <w:t>审定</w:t>
      </w:r>
      <w:r>
        <w:rPr>
          <w:rFonts w:eastAsia="方正仿宋_GBK"/>
          <w:bCs/>
          <w:color w:val="000000"/>
          <w:sz w:val="32"/>
          <w:szCs w:val="32"/>
        </w:rPr>
        <w:t>，由市交通局通过官网和媒体公布。</w:t>
      </w:r>
    </w:p>
    <w:p>
      <w:pPr>
        <w:keepNext w:val="0"/>
        <w:keepLines w:val="0"/>
        <w:pageBreakBefore w:val="0"/>
        <w:kinsoku/>
        <w:wordWrap/>
        <w:overflowPunct/>
        <w:topLinePunct w:val="0"/>
        <w:autoSpaceDE/>
        <w:autoSpaceDN/>
        <w:bidi w:val="0"/>
        <w:spacing w:line="570" w:lineRule="exact"/>
        <w:rPr>
          <w:rFonts w:eastAsia="方正仿宋_GBK"/>
          <w:bCs/>
          <w:color w:val="000000"/>
          <w:sz w:val="32"/>
          <w:szCs w:val="32"/>
        </w:rPr>
      </w:pPr>
    </w:p>
    <w:p>
      <w:pPr>
        <w:keepNext w:val="0"/>
        <w:keepLines w:val="0"/>
        <w:pageBreakBefore w:val="0"/>
        <w:kinsoku/>
        <w:wordWrap/>
        <w:overflowPunct/>
        <w:topLinePunct w:val="0"/>
        <w:autoSpaceDE/>
        <w:autoSpaceDN/>
        <w:bidi w:val="0"/>
        <w:spacing w:line="570" w:lineRule="exact"/>
        <w:jc w:val="center"/>
        <w:rPr>
          <w:rFonts w:eastAsia="方正黑体_GBK"/>
          <w:bCs/>
          <w:color w:val="000000"/>
          <w:sz w:val="32"/>
          <w:szCs w:val="32"/>
        </w:rPr>
      </w:pPr>
      <w:r>
        <w:rPr>
          <w:rFonts w:eastAsia="方正黑体_GBK"/>
          <w:bCs/>
          <w:color w:val="000000"/>
          <w:sz w:val="32"/>
          <w:szCs w:val="32"/>
        </w:rPr>
        <w:t xml:space="preserve">第五章 </w:t>
      </w:r>
      <w:r>
        <w:rPr>
          <w:rFonts w:hint="eastAsia" w:eastAsia="方正黑体_GBK"/>
          <w:bCs/>
          <w:color w:val="000000"/>
          <w:sz w:val="32"/>
          <w:szCs w:val="32"/>
        </w:rPr>
        <w:t xml:space="preserve"> </w:t>
      </w:r>
      <w:r>
        <w:rPr>
          <w:rFonts w:eastAsia="方正黑体_GBK"/>
          <w:bCs/>
          <w:color w:val="000000"/>
          <w:sz w:val="32"/>
          <w:szCs w:val="32"/>
        </w:rPr>
        <w:t>星级</w:t>
      </w:r>
      <w:r>
        <w:rPr>
          <w:rFonts w:hint="eastAsia" w:eastAsia="方正黑体_GBK"/>
          <w:bCs/>
          <w:color w:val="000000"/>
          <w:sz w:val="32"/>
          <w:szCs w:val="32"/>
        </w:rPr>
        <w:t>标志</w:t>
      </w:r>
      <w:r>
        <w:rPr>
          <w:rFonts w:eastAsia="方正黑体_GBK"/>
          <w:bCs/>
          <w:color w:val="000000"/>
          <w:sz w:val="32"/>
          <w:szCs w:val="32"/>
        </w:rPr>
        <w:t>牌</w:t>
      </w:r>
      <w:r>
        <w:rPr>
          <w:rFonts w:hint="eastAsia" w:eastAsia="方正黑体_GBK"/>
          <w:bCs/>
          <w:color w:val="000000"/>
          <w:sz w:val="32"/>
          <w:szCs w:val="32"/>
        </w:rPr>
        <w:t>管理</w:t>
      </w:r>
    </w:p>
    <w:p>
      <w:pPr>
        <w:keepNext w:val="0"/>
        <w:keepLines w:val="0"/>
        <w:pageBreakBefore w:val="0"/>
        <w:kinsoku/>
        <w:wordWrap/>
        <w:overflowPunct/>
        <w:topLinePunct w:val="0"/>
        <w:autoSpaceDE/>
        <w:autoSpaceDN/>
        <w:bidi w:val="0"/>
        <w:spacing w:line="570" w:lineRule="exact"/>
        <w:rPr>
          <w:rFonts w:hint="eastAsia"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第二十二条</w:t>
      </w:r>
      <w:r>
        <w:rPr>
          <w:rFonts w:hint="eastAsia" w:eastAsia="方正黑体_GBK"/>
          <w:bCs/>
          <w:color w:val="000000"/>
          <w:sz w:val="32"/>
          <w:szCs w:val="32"/>
        </w:rPr>
        <w:t xml:space="preserve">  </w:t>
      </w:r>
      <w:r>
        <w:rPr>
          <w:rFonts w:eastAsia="方正仿宋_GBK"/>
          <w:bCs/>
          <w:color w:val="000000"/>
          <w:sz w:val="32"/>
          <w:szCs w:val="32"/>
        </w:rPr>
        <w:t>市交通局为</w:t>
      </w:r>
      <w:r>
        <w:rPr>
          <w:rFonts w:hint="eastAsia" w:eastAsia="方正仿宋_GBK"/>
          <w:bCs/>
          <w:color w:val="000000"/>
          <w:sz w:val="32"/>
          <w:szCs w:val="32"/>
        </w:rPr>
        <w:t>星级维修</w:t>
      </w:r>
      <w:r>
        <w:rPr>
          <w:rFonts w:eastAsia="方正仿宋_GBK"/>
          <w:bCs/>
          <w:color w:val="000000"/>
          <w:sz w:val="32"/>
          <w:szCs w:val="32"/>
        </w:rPr>
        <w:t>企业授予星级</w:t>
      </w:r>
      <w:r>
        <w:rPr>
          <w:rFonts w:hint="eastAsia" w:eastAsia="方正仿宋_GBK"/>
          <w:bCs/>
          <w:color w:val="000000"/>
          <w:sz w:val="32"/>
          <w:szCs w:val="32"/>
        </w:rPr>
        <w:t>标志</w:t>
      </w:r>
      <w:r>
        <w:rPr>
          <w:rFonts w:eastAsia="方正仿宋_GBK"/>
          <w:bCs/>
          <w:color w:val="000000"/>
          <w:sz w:val="32"/>
          <w:szCs w:val="32"/>
        </w:rPr>
        <w:t>牌</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ascii="方正楷体_GBK" w:eastAsia="方正黑体_GBK"/>
          <w:bCs/>
          <w:color w:val="000000"/>
          <w:sz w:val="32"/>
          <w:szCs w:val="32"/>
        </w:rPr>
        <w:t>第二十</w:t>
      </w:r>
      <w:r>
        <w:rPr>
          <w:rFonts w:hint="eastAsia" w:ascii="方正楷体_GBK" w:eastAsia="方正黑体_GBK"/>
          <w:bCs/>
          <w:color w:val="000000"/>
          <w:sz w:val="32"/>
          <w:szCs w:val="32"/>
        </w:rPr>
        <w:t>三</w:t>
      </w:r>
      <w:r>
        <w:rPr>
          <w:rFonts w:ascii="方正楷体_GBK" w:eastAsia="方正黑体_GBK"/>
          <w:bCs/>
          <w:color w:val="000000"/>
          <w:sz w:val="32"/>
          <w:szCs w:val="32"/>
        </w:rPr>
        <w:t>条</w:t>
      </w:r>
      <w:r>
        <w:rPr>
          <w:rFonts w:hint="eastAsia" w:eastAsia="方正黑体_GBK"/>
          <w:bCs/>
          <w:color w:val="000000"/>
          <w:sz w:val="32"/>
          <w:szCs w:val="32"/>
        </w:rPr>
        <w:t xml:space="preserve">  </w:t>
      </w:r>
      <w:r>
        <w:rPr>
          <w:rFonts w:eastAsia="方正仿宋_GBK"/>
          <w:bCs/>
          <w:color w:val="000000"/>
          <w:sz w:val="32"/>
          <w:szCs w:val="32"/>
        </w:rPr>
        <w:t>星级</w:t>
      </w:r>
      <w:r>
        <w:rPr>
          <w:rFonts w:hint="eastAsia" w:eastAsia="方正仿宋_GBK"/>
          <w:bCs/>
          <w:color w:val="000000"/>
          <w:sz w:val="32"/>
          <w:szCs w:val="32"/>
        </w:rPr>
        <w:t>标志</w:t>
      </w:r>
      <w:r>
        <w:rPr>
          <w:rFonts w:eastAsia="方正仿宋_GBK"/>
          <w:bCs/>
          <w:color w:val="000000"/>
          <w:sz w:val="32"/>
          <w:szCs w:val="32"/>
        </w:rPr>
        <w:t>牌实行动态管理：</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（一）</w:t>
      </w:r>
      <w:r>
        <w:rPr>
          <w:rFonts w:eastAsia="方正仿宋_GBK"/>
          <w:bCs/>
          <w:color w:val="000000"/>
          <w:sz w:val="32"/>
          <w:szCs w:val="32"/>
        </w:rPr>
        <w:t>下届</w:t>
      </w:r>
      <w:r>
        <w:rPr>
          <w:rFonts w:hint="eastAsia" w:eastAsia="方正仿宋_GBK"/>
          <w:bCs/>
          <w:color w:val="000000"/>
          <w:sz w:val="32"/>
          <w:szCs w:val="32"/>
        </w:rPr>
        <w:t>星级评定</w:t>
      </w:r>
      <w:r>
        <w:rPr>
          <w:rFonts w:eastAsia="方正仿宋_GBK"/>
          <w:bCs/>
          <w:color w:val="000000"/>
          <w:sz w:val="32"/>
          <w:szCs w:val="32"/>
        </w:rPr>
        <w:t>等级与上届相同的，原</w:t>
      </w:r>
      <w:r>
        <w:rPr>
          <w:rFonts w:hint="eastAsia" w:eastAsia="方正仿宋_GBK"/>
          <w:bCs/>
          <w:color w:val="000000"/>
          <w:sz w:val="32"/>
          <w:szCs w:val="32"/>
        </w:rPr>
        <w:t>星级标志</w:t>
      </w:r>
      <w:r>
        <w:rPr>
          <w:rFonts w:eastAsia="方正仿宋_GBK"/>
          <w:bCs/>
          <w:color w:val="000000"/>
          <w:sz w:val="32"/>
          <w:szCs w:val="32"/>
        </w:rPr>
        <w:t>牌不变，不重复授予；</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（二）</w:t>
      </w:r>
      <w:r>
        <w:rPr>
          <w:rFonts w:eastAsia="方正仿宋_GBK"/>
          <w:bCs/>
          <w:color w:val="000000"/>
          <w:sz w:val="32"/>
          <w:szCs w:val="32"/>
        </w:rPr>
        <w:t>下届星级</w:t>
      </w:r>
      <w:r>
        <w:rPr>
          <w:rFonts w:hint="eastAsia" w:eastAsia="方正仿宋_GBK"/>
          <w:bCs/>
          <w:color w:val="000000"/>
          <w:sz w:val="32"/>
          <w:szCs w:val="32"/>
        </w:rPr>
        <w:t>评定</w:t>
      </w:r>
      <w:r>
        <w:rPr>
          <w:rFonts w:eastAsia="方正仿宋_GBK"/>
          <w:bCs/>
          <w:color w:val="000000"/>
          <w:sz w:val="32"/>
          <w:szCs w:val="32"/>
        </w:rPr>
        <w:t>等级变化的，区县道路运输事务机构应</w:t>
      </w:r>
      <w:r>
        <w:rPr>
          <w:rFonts w:hint="eastAsia" w:eastAsia="方正仿宋_GBK"/>
          <w:bCs/>
          <w:color w:val="000000"/>
          <w:sz w:val="32"/>
          <w:szCs w:val="32"/>
        </w:rPr>
        <w:t>当</w:t>
      </w:r>
      <w:r>
        <w:rPr>
          <w:rFonts w:eastAsia="方正仿宋_GBK"/>
          <w:bCs/>
          <w:color w:val="000000"/>
          <w:sz w:val="32"/>
          <w:szCs w:val="32"/>
        </w:rPr>
        <w:t>及时收回原星级</w:t>
      </w:r>
      <w:r>
        <w:rPr>
          <w:rFonts w:hint="eastAsia" w:eastAsia="方正仿宋_GBK"/>
          <w:bCs/>
          <w:color w:val="000000"/>
          <w:sz w:val="32"/>
          <w:szCs w:val="32"/>
        </w:rPr>
        <w:t>标志</w:t>
      </w:r>
      <w:r>
        <w:rPr>
          <w:rFonts w:eastAsia="方正仿宋_GBK"/>
          <w:bCs/>
          <w:color w:val="000000"/>
          <w:sz w:val="32"/>
          <w:szCs w:val="32"/>
        </w:rPr>
        <w:t>牌</w:t>
      </w:r>
      <w:r>
        <w:rPr>
          <w:rFonts w:hint="eastAsia" w:eastAsia="方正仿宋_GBK"/>
          <w:bCs/>
          <w:color w:val="000000"/>
          <w:sz w:val="32"/>
          <w:szCs w:val="32"/>
        </w:rPr>
        <w:t>，由市交通局</w:t>
      </w:r>
      <w:r>
        <w:rPr>
          <w:rFonts w:eastAsia="方正仿宋_GBK"/>
          <w:bCs/>
          <w:color w:val="000000"/>
          <w:sz w:val="32"/>
          <w:szCs w:val="32"/>
        </w:rPr>
        <w:t>重新授予；</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（三）</w:t>
      </w:r>
      <w:r>
        <w:rPr>
          <w:rFonts w:eastAsia="方正仿宋_GBK"/>
          <w:bCs/>
          <w:color w:val="000000"/>
          <w:sz w:val="32"/>
          <w:szCs w:val="32"/>
        </w:rPr>
        <w:t>上届获得星级</w:t>
      </w:r>
      <w:r>
        <w:rPr>
          <w:rFonts w:hint="eastAsia" w:eastAsia="方正仿宋_GBK"/>
          <w:bCs/>
          <w:color w:val="000000"/>
          <w:sz w:val="32"/>
          <w:szCs w:val="32"/>
        </w:rPr>
        <w:t>标志</w:t>
      </w:r>
      <w:r>
        <w:rPr>
          <w:rFonts w:eastAsia="方正仿宋_GBK"/>
          <w:bCs/>
          <w:color w:val="000000"/>
          <w:sz w:val="32"/>
          <w:szCs w:val="32"/>
        </w:rPr>
        <w:t>牌下届未获得或逾期未提交</w:t>
      </w:r>
      <w:r>
        <w:rPr>
          <w:rFonts w:hint="eastAsia" w:eastAsia="方正仿宋_GBK"/>
          <w:bCs/>
          <w:color w:val="000000"/>
          <w:sz w:val="32"/>
          <w:szCs w:val="32"/>
        </w:rPr>
        <w:t>星级维修企业评定</w:t>
      </w:r>
      <w:r>
        <w:rPr>
          <w:rFonts w:eastAsia="方正仿宋_GBK"/>
          <w:bCs/>
          <w:color w:val="000000"/>
          <w:sz w:val="32"/>
          <w:szCs w:val="32"/>
        </w:rPr>
        <w:t>申请的</w:t>
      </w:r>
      <w:r>
        <w:rPr>
          <w:rFonts w:hint="eastAsia" w:eastAsia="方正仿宋_GBK"/>
          <w:bCs/>
          <w:color w:val="000000"/>
          <w:sz w:val="32"/>
          <w:szCs w:val="32"/>
        </w:rPr>
        <w:t>，</w:t>
      </w:r>
      <w:r>
        <w:rPr>
          <w:rFonts w:eastAsia="方正仿宋_GBK"/>
          <w:bCs/>
          <w:color w:val="000000"/>
          <w:sz w:val="32"/>
          <w:szCs w:val="32"/>
        </w:rPr>
        <w:t>区县道路运输事务机构应</w:t>
      </w:r>
      <w:r>
        <w:rPr>
          <w:rFonts w:hint="eastAsia" w:eastAsia="方正仿宋_GBK"/>
          <w:bCs/>
          <w:color w:val="000000"/>
          <w:sz w:val="32"/>
          <w:szCs w:val="32"/>
        </w:rPr>
        <w:t>当</w:t>
      </w:r>
      <w:r>
        <w:rPr>
          <w:rFonts w:eastAsia="方正仿宋_GBK"/>
          <w:bCs/>
          <w:color w:val="000000"/>
          <w:sz w:val="32"/>
          <w:szCs w:val="32"/>
        </w:rPr>
        <w:t>及时收回原星级</w:t>
      </w:r>
      <w:r>
        <w:rPr>
          <w:rFonts w:hint="eastAsia" w:eastAsia="方正仿宋_GBK"/>
          <w:bCs/>
          <w:color w:val="000000"/>
          <w:sz w:val="32"/>
          <w:szCs w:val="32"/>
        </w:rPr>
        <w:t>标志</w:t>
      </w:r>
      <w:r>
        <w:rPr>
          <w:rFonts w:eastAsia="方正仿宋_GBK"/>
          <w:bCs/>
          <w:color w:val="000000"/>
          <w:sz w:val="32"/>
          <w:szCs w:val="32"/>
        </w:rPr>
        <w:t>牌。</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r>
        <w:rPr>
          <w:rFonts w:ascii="方正楷体_GBK" w:eastAsia="方正黑体_GBK"/>
          <w:bCs/>
          <w:color w:val="000000"/>
          <w:sz w:val="32"/>
          <w:szCs w:val="32"/>
        </w:rPr>
        <w:t>第</w:t>
      </w:r>
      <w:r>
        <w:rPr>
          <w:rFonts w:hint="eastAsia" w:ascii="方正楷体_GBK" w:eastAsia="方正黑体_GBK"/>
          <w:bCs/>
          <w:color w:val="000000"/>
          <w:sz w:val="32"/>
          <w:szCs w:val="32"/>
        </w:rPr>
        <w:t>二十四</w:t>
      </w:r>
      <w:r>
        <w:rPr>
          <w:rFonts w:ascii="方正楷体_GBK" w:eastAsia="方正黑体_GBK"/>
          <w:bCs/>
          <w:color w:val="000000"/>
          <w:sz w:val="32"/>
          <w:szCs w:val="32"/>
        </w:rPr>
        <w:t>条</w:t>
      </w:r>
      <w:r>
        <w:rPr>
          <w:rFonts w:eastAsia="方正黑体_GBK"/>
          <w:bCs/>
          <w:color w:val="000000"/>
          <w:sz w:val="32"/>
          <w:szCs w:val="32"/>
        </w:rPr>
        <w:t xml:space="preserve"> </w:t>
      </w:r>
      <w:r>
        <w:rPr>
          <w:rFonts w:hint="eastAsia" w:eastAsia="方正黑体_GBK"/>
          <w:bCs/>
          <w:color w:val="000000"/>
          <w:sz w:val="32"/>
          <w:szCs w:val="32"/>
        </w:rPr>
        <w:t xml:space="preserve"> </w:t>
      </w:r>
      <w:r>
        <w:rPr>
          <w:rFonts w:hint="eastAsia" w:eastAsia="方正仿宋_GBK"/>
          <w:bCs/>
          <w:color w:val="000000"/>
          <w:sz w:val="32"/>
          <w:szCs w:val="32"/>
        </w:rPr>
        <w:t>机动车维修企业</w:t>
      </w:r>
      <w:r>
        <w:rPr>
          <w:rFonts w:eastAsia="方正仿宋_GBK"/>
          <w:bCs/>
          <w:color w:val="000000"/>
          <w:sz w:val="32"/>
          <w:szCs w:val="32"/>
        </w:rPr>
        <w:t>发生</w:t>
      </w:r>
      <w:r>
        <w:rPr>
          <w:rFonts w:hint="eastAsia" w:eastAsia="方正仿宋_GBK"/>
          <w:bCs/>
          <w:color w:val="000000"/>
          <w:sz w:val="32"/>
          <w:szCs w:val="32"/>
        </w:rPr>
        <w:t>本办法</w:t>
      </w:r>
      <w:r>
        <w:rPr>
          <w:rFonts w:eastAsia="方正仿宋_GBK"/>
          <w:bCs/>
          <w:color w:val="000000"/>
          <w:sz w:val="32"/>
          <w:szCs w:val="32"/>
        </w:rPr>
        <w:t>第</w:t>
      </w:r>
      <w:r>
        <w:rPr>
          <w:rFonts w:hint="eastAsia" w:eastAsia="方正仿宋_GBK"/>
          <w:bCs/>
          <w:color w:val="000000"/>
          <w:sz w:val="32"/>
          <w:szCs w:val="32"/>
        </w:rPr>
        <w:t>六条和第</w:t>
      </w:r>
      <w:r>
        <w:rPr>
          <w:rFonts w:eastAsia="方正仿宋_GBK"/>
          <w:bCs/>
          <w:color w:val="000000"/>
          <w:sz w:val="32"/>
          <w:szCs w:val="32"/>
        </w:rPr>
        <w:t>十</w:t>
      </w:r>
      <w:r>
        <w:rPr>
          <w:rFonts w:hint="eastAsia" w:eastAsia="方正仿宋_GBK"/>
          <w:bCs/>
          <w:color w:val="000000"/>
          <w:sz w:val="32"/>
          <w:szCs w:val="32"/>
        </w:rPr>
        <w:t>二</w:t>
      </w:r>
      <w:r>
        <w:rPr>
          <w:rFonts w:eastAsia="方正仿宋_GBK"/>
          <w:bCs/>
          <w:color w:val="000000"/>
          <w:sz w:val="32"/>
          <w:szCs w:val="32"/>
        </w:rPr>
        <w:t>条任一违规行为的，</w:t>
      </w:r>
      <w:r>
        <w:rPr>
          <w:rFonts w:hint="eastAsia" w:eastAsia="方正仿宋_GBK"/>
          <w:bCs/>
          <w:color w:val="000000"/>
          <w:sz w:val="32"/>
          <w:szCs w:val="32"/>
        </w:rPr>
        <w:t>应当</w:t>
      </w:r>
      <w:r>
        <w:rPr>
          <w:rFonts w:eastAsia="方正仿宋_GBK"/>
          <w:bCs/>
          <w:color w:val="000000"/>
          <w:sz w:val="32"/>
          <w:szCs w:val="32"/>
        </w:rPr>
        <w:t>立即</w:t>
      </w:r>
      <w:r>
        <w:rPr>
          <w:rFonts w:hint="eastAsia" w:eastAsia="方正仿宋_GBK"/>
          <w:bCs/>
          <w:color w:val="000000"/>
          <w:sz w:val="32"/>
          <w:szCs w:val="32"/>
        </w:rPr>
        <w:t>予以摘牌处理</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jc w:val="left"/>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jc w:val="center"/>
        <w:rPr>
          <w:rFonts w:eastAsia="方正黑体_GBK"/>
          <w:bCs/>
          <w:color w:val="000000"/>
          <w:sz w:val="32"/>
          <w:szCs w:val="32"/>
        </w:rPr>
      </w:pPr>
      <w:r>
        <w:rPr>
          <w:rFonts w:eastAsia="方正黑体_GBK"/>
          <w:bCs/>
          <w:color w:val="000000"/>
          <w:sz w:val="32"/>
          <w:szCs w:val="32"/>
        </w:rPr>
        <w:t>第</w:t>
      </w:r>
      <w:r>
        <w:rPr>
          <w:rFonts w:hint="eastAsia" w:eastAsia="方正黑体_GBK"/>
          <w:bCs/>
          <w:color w:val="000000"/>
          <w:sz w:val="32"/>
          <w:szCs w:val="32"/>
        </w:rPr>
        <w:t>六</w:t>
      </w:r>
      <w:r>
        <w:rPr>
          <w:rFonts w:eastAsia="方正黑体_GBK"/>
          <w:bCs/>
          <w:color w:val="000000"/>
          <w:sz w:val="32"/>
          <w:szCs w:val="32"/>
        </w:rPr>
        <w:t xml:space="preserve">章 </w:t>
      </w:r>
      <w:r>
        <w:rPr>
          <w:rFonts w:hint="eastAsia" w:eastAsia="方正黑体_GBK"/>
          <w:bCs/>
          <w:color w:val="000000"/>
          <w:sz w:val="32"/>
          <w:szCs w:val="32"/>
        </w:rPr>
        <w:t xml:space="preserve"> </w:t>
      </w:r>
      <w:r>
        <w:rPr>
          <w:rFonts w:eastAsia="方正黑体_GBK"/>
          <w:bCs/>
          <w:color w:val="000000"/>
          <w:sz w:val="32"/>
          <w:szCs w:val="32"/>
        </w:rPr>
        <w:t>评定结果运用</w:t>
      </w:r>
    </w:p>
    <w:p>
      <w:pPr>
        <w:keepNext w:val="0"/>
        <w:keepLines w:val="0"/>
        <w:pageBreakBefore w:val="0"/>
        <w:kinsoku/>
        <w:wordWrap/>
        <w:overflowPunct/>
        <w:topLinePunct w:val="0"/>
        <w:autoSpaceDE/>
        <w:autoSpaceDN/>
        <w:bidi w:val="0"/>
        <w:spacing w:line="570" w:lineRule="exact"/>
        <w:jc w:val="left"/>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第二十五条</w:t>
      </w:r>
      <w:r>
        <w:rPr>
          <w:rFonts w:hint="eastAsia" w:eastAsia="方正黑体_GBK"/>
          <w:bCs/>
          <w:color w:val="000000"/>
          <w:sz w:val="32"/>
          <w:szCs w:val="32"/>
        </w:rPr>
        <w:t xml:space="preserve"> </w:t>
      </w:r>
      <w:r>
        <w:rPr>
          <w:rFonts w:hint="eastAsia" w:eastAsia="仿宋_GB2312"/>
          <w:color w:val="000000"/>
          <w:sz w:val="30"/>
          <w:szCs w:val="30"/>
        </w:rPr>
        <w:t xml:space="preserve"> </w:t>
      </w:r>
      <w:r>
        <w:rPr>
          <w:rFonts w:hint="eastAsia" w:eastAsia="方正仿宋_GBK"/>
          <w:bCs/>
          <w:color w:val="000000"/>
          <w:sz w:val="32"/>
          <w:szCs w:val="32"/>
        </w:rPr>
        <w:t>机动车维修企业</w:t>
      </w:r>
      <w:r>
        <w:rPr>
          <w:rFonts w:eastAsia="方正仿宋_GBK"/>
          <w:bCs/>
          <w:color w:val="000000"/>
          <w:sz w:val="32"/>
          <w:szCs w:val="32"/>
        </w:rPr>
        <w:t>服务质量等级评定为不达标的，</w:t>
      </w:r>
      <w:r>
        <w:rPr>
          <w:rFonts w:hint="eastAsia" w:eastAsia="方正仿宋_GBK"/>
          <w:bCs/>
          <w:color w:val="000000"/>
          <w:sz w:val="32"/>
          <w:szCs w:val="32"/>
        </w:rPr>
        <w:t>应当依法</w:t>
      </w:r>
      <w:r>
        <w:rPr>
          <w:rFonts w:eastAsia="方正仿宋_GBK"/>
          <w:bCs/>
          <w:color w:val="000000"/>
          <w:sz w:val="32"/>
          <w:szCs w:val="32"/>
        </w:rPr>
        <w:t>实行限期整改。</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（一）</w:t>
      </w:r>
      <w:r>
        <w:rPr>
          <w:rFonts w:eastAsia="方正仿宋_GBK"/>
          <w:bCs/>
          <w:color w:val="000000"/>
          <w:sz w:val="32"/>
          <w:szCs w:val="32"/>
        </w:rPr>
        <w:t>由当地交通主管部门提出整改要求，</w:t>
      </w:r>
      <w:r>
        <w:rPr>
          <w:rFonts w:hint="eastAsia" w:eastAsia="方正仿宋_GBK"/>
          <w:bCs/>
          <w:color w:val="000000"/>
          <w:sz w:val="32"/>
          <w:szCs w:val="32"/>
        </w:rPr>
        <w:t>依法</w:t>
      </w:r>
      <w:r>
        <w:rPr>
          <w:rFonts w:eastAsia="方正仿宋_GBK"/>
          <w:bCs/>
          <w:color w:val="000000"/>
          <w:sz w:val="32"/>
          <w:szCs w:val="32"/>
        </w:rPr>
        <w:t>责令</w:t>
      </w:r>
      <w:r>
        <w:rPr>
          <w:rFonts w:hint="eastAsia" w:eastAsia="方正仿宋_GBK"/>
          <w:bCs/>
          <w:color w:val="000000"/>
          <w:sz w:val="32"/>
          <w:szCs w:val="32"/>
        </w:rPr>
        <w:t>机动车维修</w:t>
      </w:r>
      <w:r>
        <w:rPr>
          <w:rFonts w:eastAsia="方正仿宋_GBK"/>
          <w:bCs/>
          <w:color w:val="000000"/>
          <w:sz w:val="32"/>
          <w:szCs w:val="32"/>
        </w:rPr>
        <w:t>企业</w:t>
      </w:r>
      <w:r>
        <w:rPr>
          <w:rFonts w:hint="eastAsia" w:eastAsia="方正仿宋_GBK"/>
          <w:bCs/>
          <w:color w:val="000000"/>
          <w:sz w:val="32"/>
          <w:szCs w:val="32"/>
        </w:rPr>
        <w:t>限期</w:t>
      </w:r>
      <w:r>
        <w:rPr>
          <w:rFonts w:eastAsia="方正仿宋_GBK"/>
          <w:bCs/>
          <w:color w:val="000000"/>
          <w:sz w:val="32"/>
          <w:szCs w:val="32"/>
        </w:rPr>
        <w:t>整改。</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二</w:t>
      </w:r>
      <w:r>
        <w:rPr>
          <w:rFonts w:eastAsia="方正仿宋_GBK"/>
          <w:bCs/>
          <w:color w:val="000000"/>
          <w:sz w:val="32"/>
          <w:szCs w:val="32"/>
        </w:rPr>
        <w:t>）限期整改经核查达标的，当地交通主管部门应当及时在辖区内公布。</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三</w:t>
      </w:r>
      <w:r>
        <w:rPr>
          <w:rFonts w:eastAsia="方正仿宋_GBK"/>
          <w:bCs/>
          <w:color w:val="000000"/>
          <w:sz w:val="32"/>
          <w:szCs w:val="32"/>
        </w:rPr>
        <w:t xml:space="preserve">）限期整改经核查仍不达标的，当地交通主管部门、道路运输事务机构和交通综合执法机构应当加强监督，增加督查检查频次，并按照相关规定实施挂牌督办。 </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 xml:space="preserve">第二十六条 </w:t>
      </w:r>
      <w:r>
        <w:rPr>
          <w:rFonts w:hint="eastAsia" w:eastAsia="方正黑体_GBK"/>
          <w:bCs/>
          <w:color w:val="000000"/>
          <w:sz w:val="32"/>
          <w:szCs w:val="32"/>
        </w:rPr>
        <w:t xml:space="preserve"> </w:t>
      </w:r>
      <w:r>
        <w:rPr>
          <w:rFonts w:hint="eastAsia" w:eastAsia="方正仿宋_GBK"/>
          <w:bCs/>
          <w:color w:val="000000"/>
          <w:sz w:val="32"/>
          <w:szCs w:val="32"/>
        </w:rPr>
        <w:t>各级</w:t>
      </w:r>
      <w:r>
        <w:rPr>
          <w:rFonts w:eastAsia="方正仿宋_GBK"/>
          <w:bCs/>
          <w:color w:val="000000"/>
          <w:sz w:val="32"/>
          <w:szCs w:val="32"/>
        </w:rPr>
        <w:t>交通主管部门和道路运输事务机构应当通过</w:t>
      </w:r>
      <w:r>
        <w:rPr>
          <w:rFonts w:hint="eastAsia" w:eastAsia="方正仿宋_GBK"/>
          <w:bCs/>
          <w:color w:val="000000"/>
          <w:sz w:val="32"/>
          <w:szCs w:val="32"/>
        </w:rPr>
        <w:t>多</w:t>
      </w:r>
      <w:r>
        <w:rPr>
          <w:rFonts w:eastAsia="方正仿宋_GBK"/>
          <w:bCs/>
          <w:color w:val="000000"/>
          <w:sz w:val="32"/>
          <w:szCs w:val="32"/>
        </w:rPr>
        <w:t>种途径加大星级</w:t>
      </w:r>
      <w:r>
        <w:rPr>
          <w:rFonts w:hint="eastAsia" w:eastAsia="方正仿宋_GBK"/>
          <w:bCs/>
          <w:color w:val="000000"/>
          <w:sz w:val="32"/>
          <w:szCs w:val="32"/>
        </w:rPr>
        <w:t>维修</w:t>
      </w:r>
      <w:r>
        <w:rPr>
          <w:rFonts w:eastAsia="方正仿宋_GBK"/>
          <w:bCs/>
          <w:color w:val="000000"/>
          <w:sz w:val="32"/>
          <w:szCs w:val="32"/>
        </w:rPr>
        <w:t>企业的宣传力度，增加社会知名度、认可度和影响力</w:t>
      </w:r>
      <w:r>
        <w:rPr>
          <w:rFonts w:hint="eastAsia" w:eastAsia="方正仿宋_GBK"/>
          <w:bCs/>
          <w:color w:val="000000"/>
          <w:sz w:val="32"/>
          <w:szCs w:val="32"/>
        </w:rPr>
        <w:t>，充分发挥星级维修企业的示范引领作用。</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 xml:space="preserve">第二十七条 </w:t>
      </w:r>
      <w:r>
        <w:rPr>
          <w:rFonts w:hint="eastAsia" w:eastAsia="方正仿宋_GBK"/>
          <w:bCs/>
          <w:color w:val="000000"/>
          <w:sz w:val="32"/>
          <w:szCs w:val="32"/>
        </w:rPr>
        <w:t xml:space="preserve"> 星级维修企业可以获得下列政策支持</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hint="eastAsia" w:eastAsia="方正仿宋_GBK"/>
          <w:bCs/>
          <w:color w:val="000000"/>
          <w:sz w:val="32"/>
          <w:szCs w:val="32"/>
        </w:rPr>
      </w:pPr>
      <w:r>
        <w:rPr>
          <w:rFonts w:eastAsia="方正仿宋_GBK"/>
          <w:bCs/>
          <w:color w:val="000000"/>
          <w:sz w:val="32"/>
          <w:szCs w:val="32"/>
        </w:rPr>
        <w:t>（一）优先推荐参加全国诚信企业评选</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（二）优先推荐</w:t>
      </w:r>
      <w:r>
        <w:rPr>
          <w:rFonts w:hint="eastAsia" w:eastAsia="方正仿宋_GBK"/>
          <w:bCs/>
          <w:color w:val="000000"/>
          <w:sz w:val="32"/>
          <w:szCs w:val="32"/>
        </w:rPr>
        <w:t>纳入</w:t>
      </w:r>
      <w:r>
        <w:rPr>
          <w:rFonts w:eastAsia="方正仿宋_GBK"/>
          <w:bCs/>
          <w:color w:val="000000"/>
          <w:sz w:val="32"/>
          <w:szCs w:val="32"/>
        </w:rPr>
        <w:t>公务车定点</w:t>
      </w:r>
      <w:r>
        <w:rPr>
          <w:rFonts w:hint="eastAsia" w:eastAsia="方正仿宋_GBK"/>
          <w:bCs/>
          <w:color w:val="000000"/>
          <w:sz w:val="32"/>
          <w:szCs w:val="32"/>
        </w:rPr>
        <w:t>维修</w:t>
      </w:r>
      <w:r>
        <w:rPr>
          <w:rFonts w:eastAsia="方正仿宋_GBK"/>
          <w:bCs/>
          <w:color w:val="000000"/>
          <w:sz w:val="32"/>
          <w:szCs w:val="32"/>
        </w:rPr>
        <w:t>企业</w:t>
      </w:r>
      <w:r>
        <w:rPr>
          <w:rFonts w:hint="eastAsia" w:eastAsia="方正仿宋_GBK"/>
          <w:bCs/>
          <w:color w:val="000000"/>
          <w:sz w:val="32"/>
          <w:szCs w:val="32"/>
        </w:rPr>
        <w:t>选拔</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三</w:t>
      </w:r>
      <w:r>
        <w:rPr>
          <w:rFonts w:eastAsia="方正仿宋_GBK"/>
          <w:bCs/>
          <w:color w:val="000000"/>
          <w:sz w:val="32"/>
          <w:szCs w:val="32"/>
        </w:rPr>
        <w:t>）优先推荐加入汽车</w:t>
      </w:r>
      <w:r>
        <w:rPr>
          <w:rFonts w:hint="eastAsia" w:eastAsia="方正仿宋_GBK"/>
          <w:bCs/>
          <w:color w:val="000000"/>
          <w:sz w:val="32"/>
          <w:szCs w:val="32"/>
        </w:rPr>
        <w:t>尾气</w:t>
      </w:r>
      <w:r>
        <w:rPr>
          <w:rFonts w:eastAsia="方正仿宋_GBK"/>
          <w:bCs/>
          <w:color w:val="000000"/>
          <w:sz w:val="32"/>
          <w:szCs w:val="32"/>
        </w:rPr>
        <w:t>排放</w:t>
      </w:r>
      <w:r>
        <w:rPr>
          <w:rFonts w:hint="eastAsia" w:eastAsia="方正仿宋_GBK"/>
          <w:bCs/>
          <w:color w:val="000000"/>
          <w:sz w:val="32"/>
          <w:szCs w:val="32"/>
        </w:rPr>
        <w:t>维护单位</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四</w:t>
      </w:r>
      <w:r>
        <w:rPr>
          <w:rFonts w:eastAsia="方正仿宋_GBK"/>
          <w:bCs/>
          <w:color w:val="000000"/>
          <w:sz w:val="32"/>
          <w:szCs w:val="32"/>
        </w:rPr>
        <w:t>）优先推荐</w:t>
      </w:r>
      <w:r>
        <w:rPr>
          <w:rFonts w:hint="eastAsia" w:eastAsia="方正仿宋_GBK"/>
          <w:bCs/>
          <w:color w:val="000000"/>
          <w:sz w:val="32"/>
          <w:szCs w:val="32"/>
        </w:rPr>
        <w:t>参加市（区、县）长质量管理奖评选</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w:t>
      </w:r>
      <w:r>
        <w:rPr>
          <w:rFonts w:hint="eastAsia" w:eastAsia="方正仿宋_GBK"/>
          <w:bCs/>
          <w:color w:val="000000"/>
          <w:sz w:val="32"/>
          <w:szCs w:val="32"/>
        </w:rPr>
        <w:t>五</w:t>
      </w:r>
      <w:r>
        <w:rPr>
          <w:rFonts w:eastAsia="方正仿宋_GBK"/>
          <w:bCs/>
          <w:color w:val="000000"/>
          <w:sz w:val="32"/>
          <w:szCs w:val="32"/>
        </w:rPr>
        <w:t>）优先推荐参加有政策、财政支持的试点示范项目。</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p>
    <w:p>
      <w:pPr>
        <w:keepNext w:val="0"/>
        <w:keepLines w:val="0"/>
        <w:pageBreakBefore w:val="0"/>
        <w:kinsoku/>
        <w:wordWrap/>
        <w:overflowPunct/>
        <w:topLinePunct w:val="0"/>
        <w:autoSpaceDE/>
        <w:autoSpaceDN/>
        <w:bidi w:val="0"/>
        <w:spacing w:line="570" w:lineRule="exact"/>
        <w:jc w:val="center"/>
        <w:rPr>
          <w:rFonts w:eastAsia="方正黑体_GBK"/>
          <w:bCs/>
          <w:color w:val="000000"/>
          <w:sz w:val="32"/>
          <w:szCs w:val="32"/>
        </w:rPr>
      </w:pPr>
      <w:r>
        <w:rPr>
          <w:rFonts w:eastAsia="方正黑体_GBK"/>
          <w:bCs/>
          <w:color w:val="000000"/>
          <w:sz w:val="32"/>
          <w:szCs w:val="32"/>
        </w:rPr>
        <w:t>第</w:t>
      </w:r>
      <w:r>
        <w:rPr>
          <w:rFonts w:hint="eastAsia" w:eastAsia="方正黑体_GBK"/>
          <w:bCs/>
          <w:color w:val="000000"/>
          <w:sz w:val="32"/>
          <w:szCs w:val="32"/>
        </w:rPr>
        <w:t>七</w:t>
      </w:r>
      <w:r>
        <w:rPr>
          <w:rFonts w:eastAsia="方正黑体_GBK"/>
          <w:bCs/>
          <w:color w:val="000000"/>
          <w:sz w:val="32"/>
          <w:szCs w:val="32"/>
        </w:rPr>
        <w:t xml:space="preserve">章 </w:t>
      </w:r>
      <w:r>
        <w:rPr>
          <w:rFonts w:hint="eastAsia" w:eastAsia="方正黑体_GBK"/>
          <w:bCs/>
          <w:color w:val="000000"/>
          <w:sz w:val="32"/>
          <w:szCs w:val="32"/>
        </w:rPr>
        <w:t xml:space="preserve"> 评定检查</w:t>
      </w:r>
    </w:p>
    <w:p>
      <w:pPr>
        <w:keepNext w:val="0"/>
        <w:keepLines w:val="0"/>
        <w:pageBreakBefore w:val="0"/>
        <w:kinsoku/>
        <w:wordWrap/>
        <w:overflowPunct/>
        <w:topLinePunct w:val="0"/>
        <w:autoSpaceDE/>
        <w:autoSpaceDN/>
        <w:bidi w:val="0"/>
        <w:spacing w:line="570" w:lineRule="exact"/>
        <w:ind w:firstLine="640" w:firstLineChars="200"/>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 xml:space="preserve">第二十八条 </w:t>
      </w:r>
      <w:r>
        <w:rPr>
          <w:rFonts w:hint="eastAsia" w:eastAsia="方正黑体_GBK"/>
          <w:bCs/>
          <w:color w:val="000000"/>
          <w:sz w:val="32"/>
          <w:szCs w:val="32"/>
        </w:rPr>
        <w:t xml:space="preserve"> </w:t>
      </w:r>
      <w:r>
        <w:rPr>
          <w:rFonts w:hint="eastAsia" w:eastAsia="方正仿宋_GBK"/>
          <w:bCs/>
          <w:color w:val="000000"/>
          <w:sz w:val="32"/>
          <w:szCs w:val="32"/>
        </w:rPr>
        <w:t>市、区县交通主管部门、市道路运输事务中心应当对机动车维修企业服务质量等级和星级评定工作进行监督指导，及时纠正工作中的违纪违规行为。工作人员</w:t>
      </w:r>
      <w:r>
        <w:rPr>
          <w:rFonts w:eastAsia="方正仿宋_GBK"/>
          <w:bCs/>
          <w:color w:val="000000"/>
          <w:sz w:val="32"/>
          <w:szCs w:val="32"/>
        </w:rPr>
        <w:t>有不作为、走形式</w:t>
      </w:r>
      <w:r>
        <w:rPr>
          <w:rFonts w:hint="eastAsia" w:eastAsia="方正仿宋_GBK"/>
          <w:bCs/>
          <w:color w:val="000000"/>
          <w:sz w:val="32"/>
          <w:szCs w:val="32"/>
        </w:rPr>
        <w:t>、</w:t>
      </w:r>
      <w:r>
        <w:rPr>
          <w:rFonts w:eastAsia="方正仿宋_GBK"/>
          <w:bCs/>
          <w:color w:val="000000"/>
          <w:sz w:val="32"/>
          <w:szCs w:val="32"/>
        </w:rPr>
        <w:t>弄虚作假、徇私舞弊、滥用职权等行为的，按照有关规定严肃处理。</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第二十九条</w:t>
      </w:r>
      <w:r>
        <w:rPr>
          <w:rFonts w:hint="eastAsia" w:eastAsia="方正黑体_GBK"/>
          <w:bCs/>
          <w:color w:val="000000"/>
          <w:sz w:val="32"/>
          <w:szCs w:val="32"/>
        </w:rPr>
        <w:t xml:space="preserve">  </w:t>
      </w:r>
      <w:r>
        <w:rPr>
          <w:rFonts w:eastAsia="方正仿宋_GBK"/>
          <w:bCs/>
          <w:color w:val="000000"/>
          <w:sz w:val="32"/>
          <w:szCs w:val="32"/>
        </w:rPr>
        <w:t>区县</w:t>
      </w:r>
      <w:r>
        <w:rPr>
          <w:rFonts w:hint="eastAsia" w:eastAsia="方正仿宋_GBK"/>
          <w:bCs/>
          <w:color w:val="000000"/>
          <w:sz w:val="32"/>
          <w:szCs w:val="32"/>
        </w:rPr>
        <w:t>交通主管部门、</w:t>
      </w:r>
      <w:r>
        <w:rPr>
          <w:rFonts w:eastAsia="方正仿宋_GBK"/>
          <w:bCs/>
          <w:color w:val="000000"/>
          <w:sz w:val="32"/>
          <w:szCs w:val="32"/>
        </w:rPr>
        <w:t>道路运输事务机构</w:t>
      </w:r>
      <w:r>
        <w:rPr>
          <w:rFonts w:hint="eastAsia" w:eastAsia="方正仿宋_GBK"/>
          <w:bCs/>
          <w:color w:val="000000"/>
          <w:sz w:val="32"/>
          <w:szCs w:val="32"/>
        </w:rPr>
        <w:t>在对机动车</w:t>
      </w:r>
      <w:r>
        <w:rPr>
          <w:rFonts w:eastAsia="方正仿宋_GBK"/>
          <w:bCs/>
          <w:color w:val="000000"/>
          <w:sz w:val="32"/>
          <w:szCs w:val="32"/>
        </w:rPr>
        <w:t>维修企业</w:t>
      </w:r>
      <w:r>
        <w:rPr>
          <w:rFonts w:hint="eastAsia" w:eastAsia="方正仿宋_GBK"/>
          <w:bCs/>
          <w:color w:val="000000"/>
          <w:sz w:val="32"/>
          <w:szCs w:val="32"/>
        </w:rPr>
        <w:t>实施</w:t>
      </w:r>
      <w:r>
        <w:rPr>
          <w:rFonts w:eastAsia="方正仿宋_GBK"/>
          <w:bCs/>
          <w:color w:val="000000"/>
          <w:sz w:val="32"/>
          <w:szCs w:val="32"/>
        </w:rPr>
        <w:t>服务质量</w:t>
      </w:r>
      <w:r>
        <w:rPr>
          <w:rFonts w:hint="eastAsia" w:eastAsia="方正仿宋_GBK"/>
          <w:bCs/>
          <w:color w:val="000000"/>
          <w:sz w:val="32"/>
          <w:szCs w:val="32"/>
        </w:rPr>
        <w:t>各项</w:t>
      </w:r>
      <w:r>
        <w:rPr>
          <w:rFonts w:eastAsia="方正仿宋_GBK"/>
          <w:bCs/>
          <w:color w:val="000000"/>
          <w:sz w:val="32"/>
          <w:szCs w:val="32"/>
        </w:rPr>
        <w:t>内容的评定检查</w:t>
      </w:r>
      <w:r>
        <w:rPr>
          <w:rFonts w:hint="eastAsia" w:eastAsia="方正仿宋_GBK"/>
          <w:bCs/>
          <w:color w:val="000000"/>
          <w:sz w:val="32"/>
          <w:szCs w:val="32"/>
        </w:rPr>
        <w:t>时，</w:t>
      </w:r>
      <w:r>
        <w:rPr>
          <w:rFonts w:eastAsia="方正仿宋_GBK"/>
          <w:bCs/>
          <w:color w:val="000000"/>
          <w:sz w:val="32"/>
          <w:szCs w:val="32"/>
        </w:rPr>
        <w:t>应当有详实的证据材料，可以采取</w:t>
      </w:r>
      <w:r>
        <w:rPr>
          <w:rFonts w:hint="eastAsia" w:eastAsia="方正仿宋_GBK"/>
          <w:bCs/>
          <w:color w:val="000000"/>
          <w:sz w:val="32"/>
          <w:szCs w:val="32"/>
        </w:rPr>
        <w:t>查看作业场所、机具设备，</w:t>
      </w:r>
      <w:r>
        <w:rPr>
          <w:rFonts w:eastAsia="方正仿宋_GBK"/>
          <w:bCs/>
          <w:color w:val="000000"/>
          <w:sz w:val="32"/>
          <w:szCs w:val="32"/>
        </w:rPr>
        <w:t>查询、复制有关资料台账</w:t>
      </w:r>
      <w:r>
        <w:rPr>
          <w:rFonts w:hint="eastAsia" w:eastAsia="方正仿宋_GBK"/>
          <w:bCs/>
          <w:color w:val="000000"/>
          <w:sz w:val="32"/>
          <w:szCs w:val="32"/>
        </w:rPr>
        <w:t>、凭证、文件</w:t>
      </w:r>
      <w:r>
        <w:rPr>
          <w:rFonts w:eastAsia="方正仿宋_GBK"/>
          <w:bCs/>
          <w:color w:val="000000"/>
          <w:sz w:val="32"/>
          <w:szCs w:val="32"/>
        </w:rPr>
        <w:t>或现场摄影、摄像取证等措施</w:t>
      </w:r>
      <w:r>
        <w:rPr>
          <w:rFonts w:hint="eastAsia"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eastAsia="方正仿宋_GBK"/>
          <w:bCs/>
          <w:color w:val="000000"/>
          <w:sz w:val="32"/>
          <w:szCs w:val="32"/>
        </w:rPr>
        <w:t>检查记录</w:t>
      </w:r>
      <w:r>
        <w:rPr>
          <w:rFonts w:hint="eastAsia" w:eastAsia="方正仿宋_GBK"/>
          <w:bCs/>
          <w:color w:val="000000"/>
          <w:sz w:val="32"/>
          <w:szCs w:val="32"/>
        </w:rPr>
        <w:t>和处理情况</w:t>
      </w:r>
      <w:r>
        <w:rPr>
          <w:rFonts w:eastAsia="方正仿宋_GBK"/>
          <w:bCs/>
          <w:color w:val="000000"/>
          <w:sz w:val="32"/>
          <w:szCs w:val="32"/>
        </w:rPr>
        <w:t>应当由所有检查人员</w:t>
      </w:r>
      <w:r>
        <w:rPr>
          <w:rFonts w:hint="eastAsia" w:eastAsia="方正仿宋_GBK"/>
          <w:bCs/>
          <w:color w:val="000000"/>
          <w:sz w:val="32"/>
          <w:szCs w:val="32"/>
        </w:rPr>
        <w:t>及机动车</w:t>
      </w:r>
      <w:r>
        <w:rPr>
          <w:rFonts w:eastAsia="方正仿宋_GBK"/>
          <w:bCs/>
          <w:color w:val="000000"/>
          <w:sz w:val="32"/>
          <w:szCs w:val="32"/>
        </w:rPr>
        <w:t>维修企业负责人</w:t>
      </w:r>
      <w:r>
        <w:rPr>
          <w:rFonts w:hint="eastAsia" w:eastAsia="方正仿宋_GBK"/>
          <w:bCs/>
          <w:color w:val="000000"/>
          <w:sz w:val="32"/>
          <w:szCs w:val="32"/>
        </w:rPr>
        <w:t>或</w:t>
      </w:r>
      <w:r>
        <w:rPr>
          <w:rFonts w:eastAsia="方正仿宋_GBK"/>
          <w:bCs/>
          <w:color w:val="000000"/>
          <w:sz w:val="32"/>
          <w:szCs w:val="32"/>
        </w:rPr>
        <w:t>当事人签字确认</w:t>
      </w:r>
      <w:r>
        <w:rPr>
          <w:rFonts w:hint="eastAsia" w:eastAsia="方正仿宋_GBK"/>
          <w:bCs/>
          <w:color w:val="000000"/>
          <w:sz w:val="32"/>
          <w:szCs w:val="32"/>
        </w:rPr>
        <w:t>。检查记录、处理情况和</w:t>
      </w:r>
      <w:r>
        <w:rPr>
          <w:rFonts w:eastAsia="方正仿宋_GBK"/>
          <w:bCs/>
          <w:color w:val="000000"/>
          <w:sz w:val="32"/>
          <w:szCs w:val="32"/>
        </w:rPr>
        <w:t>证据材料应</w:t>
      </w:r>
      <w:r>
        <w:rPr>
          <w:rFonts w:hint="eastAsia" w:eastAsia="方正仿宋_GBK"/>
          <w:bCs/>
          <w:color w:val="000000"/>
          <w:sz w:val="32"/>
          <w:szCs w:val="32"/>
        </w:rPr>
        <w:t>当</w:t>
      </w:r>
      <w:r>
        <w:rPr>
          <w:rFonts w:eastAsia="方正仿宋_GBK"/>
          <w:bCs/>
          <w:color w:val="000000"/>
          <w:sz w:val="32"/>
          <w:szCs w:val="32"/>
        </w:rPr>
        <w:t>按照规定归档。当事人有权查阅</w:t>
      </w:r>
      <w:r>
        <w:rPr>
          <w:rFonts w:hint="eastAsia" w:eastAsia="方正仿宋_GBK"/>
          <w:bCs/>
          <w:color w:val="000000"/>
          <w:sz w:val="32"/>
          <w:szCs w:val="32"/>
        </w:rPr>
        <w:t>评定</w:t>
      </w:r>
      <w:r>
        <w:rPr>
          <w:rFonts w:eastAsia="方正仿宋_GBK"/>
          <w:bCs/>
          <w:color w:val="000000"/>
          <w:sz w:val="32"/>
          <w:szCs w:val="32"/>
        </w:rPr>
        <w:t>检查记录。</w:t>
      </w:r>
      <w:r>
        <w:rPr>
          <w:rFonts w:eastAsia="方正仿宋_GBK"/>
          <w:bCs/>
          <w:color w:val="000000"/>
          <w:sz w:val="32"/>
          <w:szCs w:val="32"/>
        </w:rPr>
        <w:tab/>
      </w:r>
      <w:r>
        <w:rPr>
          <w:rFonts w:eastAsia="方正仿宋_GBK"/>
          <w:bCs/>
          <w:color w:val="000000"/>
          <w:sz w:val="32"/>
          <w:szCs w:val="32"/>
        </w:rPr>
        <w:tab/>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第三十条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区县道路运输事务机构应当对参加服务质量等级评定的</w:t>
      </w:r>
      <w:r>
        <w:rPr>
          <w:rFonts w:hint="eastAsia" w:eastAsia="方正仿宋_GBK"/>
          <w:bCs/>
          <w:color w:val="000000"/>
          <w:sz w:val="32"/>
          <w:szCs w:val="32"/>
        </w:rPr>
        <w:t>机动车</w:t>
      </w:r>
      <w:r>
        <w:rPr>
          <w:rFonts w:eastAsia="方正仿宋_GBK"/>
          <w:bCs/>
          <w:color w:val="000000"/>
          <w:sz w:val="32"/>
          <w:szCs w:val="32"/>
        </w:rPr>
        <w:t>维修企业建立档案，档案材料包括：相关</w:t>
      </w:r>
      <w:r>
        <w:rPr>
          <w:rFonts w:hint="eastAsia" w:eastAsia="方正仿宋_GBK"/>
          <w:bCs/>
          <w:color w:val="000000"/>
          <w:sz w:val="32"/>
          <w:szCs w:val="32"/>
        </w:rPr>
        <w:t>评定</w:t>
      </w:r>
      <w:r>
        <w:rPr>
          <w:rFonts w:eastAsia="方正仿宋_GBK"/>
          <w:bCs/>
          <w:color w:val="000000"/>
          <w:sz w:val="32"/>
          <w:szCs w:val="32"/>
        </w:rPr>
        <w:t>检查记录、证据材料</w:t>
      </w:r>
      <w:r>
        <w:rPr>
          <w:rFonts w:hint="eastAsia" w:eastAsia="方正仿宋_GBK"/>
          <w:bCs/>
          <w:color w:val="000000"/>
          <w:sz w:val="32"/>
          <w:szCs w:val="32"/>
        </w:rPr>
        <w:t>、</w:t>
      </w:r>
      <w:r>
        <w:rPr>
          <w:rFonts w:eastAsia="方正仿宋_GBK"/>
          <w:bCs/>
          <w:color w:val="000000"/>
          <w:sz w:val="32"/>
          <w:szCs w:val="32"/>
        </w:rPr>
        <w:t>维修企业</w:t>
      </w:r>
      <w:r>
        <w:rPr>
          <w:rFonts w:hint="eastAsia" w:eastAsia="方正仿宋_GBK"/>
          <w:bCs/>
          <w:color w:val="000000"/>
          <w:sz w:val="32"/>
          <w:szCs w:val="32"/>
        </w:rPr>
        <w:t>各年度</w:t>
      </w:r>
      <w:r>
        <w:rPr>
          <w:rFonts w:eastAsia="方正仿宋_GBK"/>
          <w:bCs/>
          <w:color w:val="000000"/>
          <w:sz w:val="32"/>
          <w:szCs w:val="32"/>
        </w:rPr>
        <w:t>服务质量等级评定结果</w:t>
      </w:r>
      <w:r>
        <w:rPr>
          <w:rFonts w:hint="eastAsia" w:eastAsia="方正仿宋_GBK"/>
          <w:bCs/>
          <w:color w:val="000000"/>
          <w:sz w:val="32"/>
          <w:szCs w:val="32"/>
        </w:rPr>
        <w:t>、星级维修企业</w:t>
      </w:r>
      <w:r>
        <w:rPr>
          <w:rFonts w:eastAsia="方正仿宋_GBK"/>
          <w:bCs/>
          <w:color w:val="000000"/>
          <w:sz w:val="32"/>
          <w:szCs w:val="32"/>
        </w:rPr>
        <w:t>评定申</w:t>
      </w:r>
      <w:r>
        <w:rPr>
          <w:rFonts w:hint="eastAsia" w:eastAsia="方正仿宋_GBK"/>
          <w:bCs/>
          <w:color w:val="000000"/>
          <w:sz w:val="32"/>
          <w:szCs w:val="32"/>
        </w:rPr>
        <w:t>请</w:t>
      </w:r>
      <w:r>
        <w:rPr>
          <w:rFonts w:eastAsia="方正仿宋_GBK"/>
          <w:bCs/>
          <w:color w:val="000000"/>
          <w:sz w:val="32"/>
          <w:szCs w:val="32"/>
        </w:rPr>
        <w:t>表</w:t>
      </w:r>
      <w:r>
        <w:rPr>
          <w:rFonts w:hint="eastAsia" w:eastAsia="方正仿宋_GBK"/>
          <w:bCs/>
          <w:color w:val="000000"/>
          <w:sz w:val="32"/>
          <w:szCs w:val="32"/>
        </w:rPr>
        <w:t>等</w:t>
      </w:r>
      <w:r>
        <w:rPr>
          <w:rFonts w:eastAsia="方正仿宋_GBK"/>
          <w:bCs/>
          <w:color w:val="000000"/>
          <w:sz w:val="32"/>
          <w:szCs w:val="32"/>
        </w:rPr>
        <w:t>。</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第三十一条</w:t>
      </w:r>
      <w:r>
        <w:rPr>
          <w:rFonts w:hint="eastAsia" w:eastAsia="方正黑体_GBK"/>
          <w:bCs/>
          <w:color w:val="000000"/>
          <w:sz w:val="32"/>
          <w:szCs w:val="32"/>
        </w:rPr>
        <w:t xml:space="preserve"> </w:t>
      </w:r>
      <w:r>
        <w:rPr>
          <w:rFonts w:eastAsia="方正黑体_GBK"/>
          <w:bCs/>
          <w:color w:val="000000"/>
          <w:sz w:val="32"/>
          <w:szCs w:val="32"/>
        </w:rPr>
        <w:t xml:space="preserve"> </w:t>
      </w:r>
      <w:r>
        <w:rPr>
          <w:rFonts w:eastAsia="方正仿宋_GBK"/>
          <w:bCs/>
          <w:color w:val="000000"/>
          <w:sz w:val="32"/>
          <w:szCs w:val="32"/>
        </w:rPr>
        <w:t>市道路运输事务中心组织评定专家委员会开展申请评定星级</w:t>
      </w:r>
      <w:r>
        <w:rPr>
          <w:rFonts w:hint="eastAsia" w:eastAsia="方正仿宋_GBK"/>
          <w:bCs/>
          <w:color w:val="000000"/>
          <w:sz w:val="32"/>
          <w:szCs w:val="32"/>
        </w:rPr>
        <w:t>维修</w:t>
      </w:r>
      <w:r>
        <w:rPr>
          <w:rFonts w:eastAsia="方正仿宋_GBK"/>
          <w:bCs/>
          <w:color w:val="000000"/>
          <w:sz w:val="32"/>
          <w:szCs w:val="32"/>
        </w:rPr>
        <w:t>企业的集中核查评定时，专家委员会成员不得少于5人，同时应当确定组长带队负责，核查评定成绩应当由组长签字确认。</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ascii="方正楷体_GBK" w:eastAsia="方正黑体_GBK"/>
          <w:bCs/>
          <w:color w:val="000000"/>
          <w:sz w:val="32"/>
          <w:szCs w:val="32"/>
        </w:rPr>
        <w:t>第三十二条</w:t>
      </w:r>
      <w:r>
        <w:rPr>
          <w:rFonts w:eastAsia="方正黑体_GBK"/>
          <w:bCs/>
          <w:color w:val="000000"/>
          <w:sz w:val="32"/>
          <w:szCs w:val="32"/>
        </w:rPr>
        <w:t xml:space="preserve"> </w:t>
      </w:r>
      <w:r>
        <w:rPr>
          <w:rFonts w:hint="eastAsia" w:eastAsia="方正黑体_GBK"/>
          <w:bCs/>
          <w:color w:val="000000"/>
          <w:sz w:val="32"/>
          <w:szCs w:val="32"/>
        </w:rPr>
        <w:t xml:space="preserve"> </w:t>
      </w:r>
      <w:r>
        <w:rPr>
          <w:rFonts w:eastAsia="方正仿宋_GBK"/>
          <w:bCs/>
          <w:color w:val="000000"/>
          <w:sz w:val="32"/>
          <w:szCs w:val="32"/>
        </w:rPr>
        <w:t>机动车维修企业应当自觉接受，主动配合交通主管部门、道路运输事务机构和评定专家委员会的</w:t>
      </w:r>
      <w:r>
        <w:rPr>
          <w:rFonts w:hint="eastAsia" w:eastAsia="方正仿宋_GBK"/>
          <w:bCs/>
          <w:color w:val="000000"/>
          <w:sz w:val="32"/>
          <w:szCs w:val="32"/>
        </w:rPr>
        <w:t>评定</w:t>
      </w:r>
      <w:r>
        <w:rPr>
          <w:rFonts w:eastAsia="方正仿宋_GBK"/>
          <w:bCs/>
          <w:color w:val="000000"/>
          <w:sz w:val="32"/>
          <w:szCs w:val="32"/>
        </w:rPr>
        <w:t>检查</w:t>
      </w:r>
      <w:r>
        <w:rPr>
          <w:rFonts w:hint="eastAsia" w:eastAsia="方正仿宋_GBK"/>
          <w:bCs/>
          <w:color w:val="000000"/>
          <w:sz w:val="32"/>
          <w:szCs w:val="32"/>
        </w:rPr>
        <w:t>和</w:t>
      </w:r>
      <w:r>
        <w:rPr>
          <w:rFonts w:eastAsia="方正仿宋_GBK"/>
          <w:bCs/>
          <w:color w:val="000000"/>
          <w:sz w:val="32"/>
          <w:szCs w:val="32"/>
        </w:rPr>
        <w:t>核查，如实反映情况，提供有关资料。</w:t>
      </w:r>
    </w:p>
    <w:p>
      <w:pPr>
        <w:keepNext w:val="0"/>
        <w:keepLines w:val="0"/>
        <w:pageBreakBefore w:val="0"/>
        <w:kinsoku/>
        <w:wordWrap/>
        <w:overflowPunct/>
        <w:topLinePunct w:val="0"/>
        <w:autoSpaceDE/>
        <w:autoSpaceDN/>
        <w:bidi w:val="0"/>
        <w:spacing w:line="570" w:lineRule="exact"/>
        <w:jc w:val="center"/>
        <w:textAlignment w:val="center"/>
        <w:rPr>
          <w:rFonts w:eastAsia="方正黑体_GBK"/>
          <w:bCs/>
          <w:color w:val="000000"/>
          <w:sz w:val="32"/>
          <w:szCs w:val="32"/>
        </w:rPr>
      </w:pPr>
    </w:p>
    <w:p>
      <w:pPr>
        <w:keepNext w:val="0"/>
        <w:keepLines w:val="0"/>
        <w:pageBreakBefore w:val="0"/>
        <w:kinsoku/>
        <w:wordWrap/>
        <w:overflowPunct/>
        <w:topLinePunct w:val="0"/>
        <w:autoSpaceDE/>
        <w:autoSpaceDN/>
        <w:bidi w:val="0"/>
        <w:spacing w:line="570" w:lineRule="exact"/>
        <w:jc w:val="center"/>
        <w:textAlignment w:val="center"/>
        <w:rPr>
          <w:rFonts w:eastAsia="方正黑体_GBK"/>
          <w:bCs/>
          <w:color w:val="000000"/>
          <w:sz w:val="32"/>
          <w:szCs w:val="32"/>
        </w:rPr>
      </w:pPr>
      <w:r>
        <w:rPr>
          <w:rFonts w:eastAsia="方正黑体_GBK"/>
          <w:bCs/>
          <w:color w:val="000000"/>
          <w:sz w:val="32"/>
          <w:szCs w:val="32"/>
        </w:rPr>
        <w:t>第八章  附  则</w:t>
      </w:r>
    </w:p>
    <w:p>
      <w:pPr>
        <w:keepNext w:val="0"/>
        <w:keepLines w:val="0"/>
        <w:pageBreakBefore w:val="0"/>
        <w:kinsoku/>
        <w:wordWrap/>
        <w:overflowPunct/>
        <w:topLinePunct w:val="0"/>
        <w:autoSpaceDE/>
        <w:autoSpaceDN/>
        <w:bidi w:val="0"/>
        <w:spacing w:line="570" w:lineRule="exact"/>
        <w:jc w:val="left"/>
        <w:rPr>
          <w:rFonts w:eastAsia="方正黑体_GBK"/>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方正仿宋_GBK"/>
          <w:bCs/>
          <w:color w:val="000000"/>
          <w:sz w:val="32"/>
          <w:szCs w:val="32"/>
        </w:rPr>
      </w:pPr>
      <w:r>
        <w:rPr>
          <w:rFonts w:hint="eastAsia" w:ascii="方正楷体_GBK" w:eastAsia="方正黑体_GBK"/>
          <w:bCs/>
          <w:color w:val="000000"/>
          <w:sz w:val="32"/>
          <w:szCs w:val="32"/>
        </w:rPr>
        <w:t>第三十三条</w:t>
      </w:r>
      <w:r>
        <w:rPr>
          <w:rFonts w:eastAsia="方正仿宋_GBK"/>
          <w:bCs/>
          <w:color w:val="000000"/>
          <w:sz w:val="32"/>
          <w:szCs w:val="32"/>
        </w:rPr>
        <w:t xml:space="preserve"> </w:t>
      </w:r>
      <w:r>
        <w:rPr>
          <w:rFonts w:hint="eastAsia" w:eastAsia="方正仿宋_GBK"/>
          <w:bCs/>
          <w:color w:val="000000"/>
          <w:sz w:val="32"/>
          <w:szCs w:val="32"/>
        </w:rPr>
        <w:t xml:space="preserve"> </w:t>
      </w:r>
      <w:r>
        <w:rPr>
          <w:rFonts w:eastAsia="方正仿宋_GBK"/>
          <w:bCs/>
          <w:color w:val="000000"/>
          <w:sz w:val="32"/>
          <w:szCs w:val="32"/>
        </w:rPr>
        <w:t>本办法由市交通局负责解释。</w:t>
      </w:r>
    </w:p>
    <w:p>
      <w:pPr>
        <w:keepNext w:val="0"/>
        <w:keepLines w:val="0"/>
        <w:pageBreakBefore w:val="0"/>
        <w:kinsoku/>
        <w:wordWrap/>
        <w:overflowPunct/>
        <w:topLinePunct w:val="0"/>
        <w:autoSpaceDE/>
        <w:autoSpaceDN/>
        <w:bidi w:val="0"/>
        <w:spacing w:line="570" w:lineRule="exact"/>
        <w:ind w:firstLine="640" w:firstLineChars="200"/>
        <w:rPr>
          <w:rFonts w:eastAsia="方正小标宋_GBK"/>
          <w:bCs/>
          <w:color w:val="000000"/>
          <w:spacing w:val="10"/>
          <w:sz w:val="36"/>
          <w:szCs w:val="36"/>
        </w:rPr>
      </w:pPr>
      <w:r>
        <w:rPr>
          <w:rFonts w:hint="eastAsia" w:ascii="方正楷体_GBK" w:eastAsia="方正黑体_GBK"/>
          <w:bCs/>
          <w:color w:val="000000"/>
          <w:sz w:val="32"/>
          <w:szCs w:val="32"/>
        </w:rPr>
        <w:t xml:space="preserve">第三十四条  </w:t>
      </w:r>
      <w:r>
        <w:rPr>
          <w:rFonts w:eastAsia="方正仿宋_GBK"/>
          <w:bCs/>
          <w:color w:val="000000"/>
          <w:sz w:val="32"/>
          <w:szCs w:val="32"/>
        </w:rPr>
        <w:t>本办法自202</w:t>
      </w:r>
      <w:r>
        <w:rPr>
          <w:rFonts w:hint="eastAsia" w:eastAsia="方正仿宋_GBK"/>
          <w:bCs/>
          <w:color w:val="000000"/>
          <w:sz w:val="32"/>
          <w:szCs w:val="32"/>
        </w:rPr>
        <w:t>3</w:t>
      </w:r>
      <w:r>
        <w:rPr>
          <w:rFonts w:eastAsia="方正仿宋_GBK"/>
          <w:bCs/>
          <w:color w:val="000000"/>
          <w:sz w:val="32"/>
          <w:szCs w:val="32"/>
        </w:rPr>
        <w:t>年</w:t>
      </w:r>
      <w:r>
        <w:rPr>
          <w:rFonts w:hint="eastAsia" w:eastAsia="方正仿宋_GBK"/>
          <w:bCs/>
          <w:color w:val="000000"/>
          <w:sz w:val="32"/>
          <w:szCs w:val="32"/>
        </w:rPr>
        <w:t>1</w:t>
      </w:r>
      <w:r>
        <w:rPr>
          <w:rFonts w:eastAsia="方正仿宋_GBK"/>
          <w:bCs/>
          <w:color w:val="000000"/>
          <w:sz w:val="32"/>
          <w:szCs w:val="32"/>
        </w:rPr>
        <w:t>月</w:t>
      </w:r>
      <w:r>
        <w:rPr>
          <w:rFonts w:hint="eastAsia" w:eastAsia="方正仿宋_GBK"/>
          <w:bCs/>
          <w:color w:val="000000"/>
          <w:sz w:val="32"/>
          <w:szCs w:val="32"/>
        </w:rPr>
        <w:t>1</w:t>
      </w:r>
      <w:r>
        <w:rPr>
          <w:rFonts w:eastAsia="方正仿宋_GBK"/>
          <w:bCs/>
          <w:color w:val="000000"/>
          <w:sz w:val="32"/>
          <w:szCs w:val="32"/>
        </w:rPr>
        <w:t>日起施行。</w:t>
      </w: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p>
    <w:p>
      <w:pPr>
        <w:keepNext w:val="0"/>
        <w:keepLines w:val="0"/>
        <w:pageBreakBefore w:val="0"/>
        <w:kinsoku/>
        <w:wordWrap/>
        <w:overflowPunct/>
        <w:topLinePunct w:val="0"/>
        <w:autoSpaceDE/>
        <w:autoSpaceDN/>
        <w:bidi w:val="0"/>
        <w:spacing w:line="570" w:lineRule="exact"/>
        <w:ind w:firstLine="640" w:firstLineChars="200"/>
        <w:rPr>
          <w:rFonts w:eastAsia="方正仿宋_GBK"/>
          <w:bCs/>
          <w:color w:val="000000"/>
          <w:sz w:val="32"/>
          <w:szCs w:val="32"/>
        </w:rPr>
      </w:pPr>
      <w:r>
        <w:rPr>
          <w:rFonts w:hint="eastAsia" w:eastAsia="方正仿宋_GBK"/>
          <w:bCs/>
          <w:color w:val="000000"/>
          <w:sz w:val="32"/>
          <w:szCs w:val="32"/>
        </w:rPr>
        <w:t>附件：1．</w:t>
      </w:r>
      <w:r>
        <w:rPr>
          <w:rFonts w:eastAsia="方正仿宋_GBK"/>
          <w:bCs/>
          <w:color w:val="000000"/>
          <w:sz w:val="32"/>
          <w:szCs w:val="32"/>
        </w:rPr>
        <w:t>一</w:t>
      </w:r>
      <w:r>
        <w:rPr>
          <w:rFonts w:hint="eastAsia" w:eastAsia="方正仿宋_GBK"/>
          <w:bCs/>
          <w:color w:val="000000"/>
          <w:sz w:val="32"/>
          <w:szCs w:val="32"/>
        </w:rPr>
        <w:t>、</w:t>
      </w:r>
      <w:r>
        <w:rPr>
          <w:rFonts w:eastAsia="方正仿宋_GBK"/>
          <w:bCs/>
          <w:color w:val="000000"/>
          <w:sz w:val="32"/>
          <w:szCs w:val="32"/>
        </w:rPr>
        <w:t>二类</w:t>
      </w:r>
      <w:r>
        <w:rPr>
          <w:rFonts w:hint="eastAsia" w:eastAsia="方正仿宋_GBK"/>
          <w:bCs/>
          <w:color w:val="000000"/>
          <w:sz w:val="32"/>
          <w:szCs w:val="32"/>
        </w:rPr>
        <w:t>汽车维修</w:t>
      </w:r>
      <w:r>
        <w:rPr>
          <w:rFonts w:eastAsia="方正仿宋_GBK"/>
          <w:bCs/>
          <w:color w:val="000000"/>
          <w:sz w:val="32"/>
          <w:szCs w:val="32"/>
        </w:rPr>
        <w:t>企业服务质量评定标准</w:t>
      </w:r>
    </w:p>
    <w:p>
      <w:pPr>
        <w:keepNext w:val="0"/>
        <w:keepLines w:val="0"/>
        <w:pageBreakBefore w:val="0"/>
        <w:kinsoku/>
        <w:wordWrap/>
        <w:overflowPunct/>
        <w:topLinePunct w:val="0"/>
        <w:autoSpaceDE/>
        <w:autoSpaceDN/>
        <w:bidi w:val="0"/>
        <w:spacing w:line="570" w:lineRule="exact"/>
        <w:ind w:firstLine="1600" w:firstLineChars="500"/>
        <w:rPr>
          <w:rFonts w:eastAsia="方正仿宋_GBK"/>
          <w:bCs/>
          <w:color w:val="000000"/>
          <w:spacing w:val="-10"/>
          <w:sz w:val="32"/>
          <w:szCs w:val="32"/>
        </w:rPr>
      </w:pPr>
      <w:r>
        <w:rPr>
          <w:rFonts w:hint="eastAsia" w:eastAsia="方正仿宋_GBK"/>
          <w:bCs/>
          <w:color w:val="000000"/>
          <w:sz w:val="32"/>
          <w:szCs w:val="32"/>
        </w:rPr>
        <w:t>2．三</w:t>
      </w:r>
      <w:r>
        <w:rPr>
          <w:rFonts w:eastAsia="方正仿宋_GBK"/>
          <w:bCs/>
          <w:color w:val="000000"/>
          <w:sz w:val="32"/>
          <w:szCs w:val="32"/>
        </w:rPr>
        <w:t>类</w:t>
      </w:r>
      <w:r>
        <w:rPr>
          <w:rFonts w:hint="eastAsia" w:eastAsia="方正仿宋_GBK"/>
          <w:bCs/>
          <w:color w:val="000000"/>
          <w:sz w:val="32"/>
          <w:szCs w:val="32"/>
        </w:rPr>
        <w:t>汽车维修</w:t>
      </w:r>
      <w:r>
        <w:rPr>
          <w:rFonts w:eastAsia="方正仿宋_GBK"/>
          <w:bCs/>
          <w:color w:val="000000"/>
          <w:sz w:val="32"/>
          <w:szCs w:val="32"/>
        </w:rPr>
        <w:t>企业</w:t>
      </w:r>
      <w:r>
        <w:rPr>
          <w:rFonts w:hint="eastAsia" w:eastAsia="方正仿宋_GBK"/>
          <w:bCs/>
          <w:color w:val="000000"/>
          <w:spacing w:val="-10"/>
          <w:sz w:val="32"/>
          <w:szCs w:val="32"/>
        </w:rPr>
        <w:t>服务质量评定标准</w:t>
      </w:r>
    </w:p>
    <w:p>
      <w:pPr>
        <w:keepNext w:val="0"/>
        <w:keepLines w:val="0"/>
        <w:pageBreakBefore w:val="0"/>
        <w:kinsoku/>
        <w:wordWrap/>
        <w:overflowPunct/>
        <w:topLinePunct w:val="0"/>
        <w:autoSpaceDE/>
        <w:autoSpaceDN/>
        <w:bidi w:val="0"/>
        <w:spacing w:line="570" w:lineRule="exact"/>
        <w:ind w:firstLine="1600" w:firstLineChars="500"/>
        <w:rPr>
          <w:rFonts w:hint="eastAsia" w:eastAsia="方正仿宋_GBK"/>
          <w:bCs/>
          <w:color w:val="000000"/>
          <w:sz w:val="32"/>
          <w:szCs w:val="32"/>
        </w:rPr>
      </w:pPr>
      <w:r>
        <w:rPr>
          <w:rFonts w:hint="eastAsia" w:eastAsia="方正仿宋_GBK"/>
          <w:bCs/>
          <w:color w:val="000000"/>
          <w:sz w:val="32"/>
          <w:szCs w:val="32"/>
        </w:rPr>
        <w:t>3．重庆市星级维修企业</w:t>
      </w:r>
      <w:r>
        <w:rPr>
          <w:rFonts w:eastAsia="方正仿宋_GBK"/>
          <w:bCs/>
          <w:color w:val="000000"/>
          <w:sz w:val="32"/>
          <w:szCs w:val="32"/>
        </w:rPr>
        <w:t>评定申</w:t>
      </w:r>
      <w:r>
        <w:rPr>
          <w:rFonts w:hint="eastAsia" w:eastAsia="方正仿宋_GBK"/>
          <w:bCs/>
          <w:color w:val="000000"/>
          <w:sz w:val="32"/>
          <w:szCs w:val="32"/>
        </w:rPr>
        <w:t>请</w:t>
      </w:r>
      <w:r>
        <w:rPr>
          <w:rFonts w:eastAsia="方正仿宋_GBK"/>
          <w:bCs/>
          <w:color w:val="000000"/>
          <w:sz w:val="32"/>
          <w:szCs w:val="32"/>
        </w:rPr>
        <w:t>表</w:t>
      </w: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80" w:lineRule="exact"/>
        <w:ind w:firstLine="1600" w:firstLineChars="500"/>
        <w:rPr>
          <w:rFonts w:hint="eastAsia" w:eastAsia="方正仿宋_GBK"/>
          <w:bCs/>
          <w:color w:val="000000"/>
          <w:sz w:val="32"/>
          <w:szCs w:val="32"/>
        </w:rPr>
      </w:pPr>
    </w:p>
    <w:p>
      <w:pPr>
        <w:spacing w:line="500" w:lineRule="exact"/>
        <w:rPr>
          <w:rStyle w:val="12"/>
          <w:rFonts w:hint="eastAsia" w:ascii="方正黑体_GBK" w:eastAsia="方正黑体_GBK"/>
          <w:sz w:val="32"/>
          <w:szCs w:val="32"/>
          <w:lang w:bidi="ar"/>
        </w:rPr>
      </w:pPr>
      <w:r>
        <w:rPr>
          <w:rFonts w:hint="eastAsia" w:ascii="方正黑体_GBK" w:hAnsi="方正黑体_GBK" w:eastAsia="方正黑体_GBK" w:cs="方正黑体_GBK"/>
          <w:color w:val="000000"/>
          <w:kern w:val="0"/>
          <w:sz w:val="32"/>
          <w:szCs w:val="32"/>
          <w:lang w:bidi="ar"/>
        </w:rPr>
        <w:t>附件</w:t>
      </w:r>
      <w:r>
        <w:rPr>
          <w:rStyle w:val="12"/>
          <w:rFonts w:hint="eastAsia" w:ascii="方正黑体_GBK" w:eastAsia="方正黑体_GBK"/>
          <w:sz w:val="32"/>
          <w:szCs w:val="32"/>
          <w:lang w:bidi="ar"/>
        </w:rPr>
        <w:t>1</w:t>
      </w:r>
    </w:p>
    <w:p>
      <w:pPr>
        <w:spacing w:line="500" w:lineRule="exact"/>
        <w:rPr>
          <w:rStyle w:val="12"/>
          <w:rFonts w:hint="eastAsia" w:ascii="方正黑体_GBK" w:eastAsia="方正黑体_GBK"/>
          <w:sz w:val="32"/>
          <w:szCs w:val="32"/>
          <w:lang w:bidi="ar"/>
        </w:rPr>
      </w:pPr>
    </w:p>
    <w:p>
      <w:pPr>
        <w:spacing w:line="500" w:lineRule="exact"/>
        <w:jc w:val="center"/>
        <w:rPr>
          <w:rStyle w:val="13"/>
          <w:rFonts w:hint="eastAsia"/>
          <w:sz w:val="44"/>
          <w:szCs w:val="44"/>
          <w:lang w:bidi="ar"/>
        </w:rPr>
      </w:pPr>
      <w:r>
        <w:rPr>
          <w:rStyle w:val="13"/>
          <w:rFonts w:hint="eastAsia"/>
          <w:sz w:val="44"/>
          <w:szCs w:val="44"/>
          <w:lang w:bidi="ar"/>
        </w:rPr>
        <w:t>一、二类汽车维修企业服务质量评定标准</w:t>
      </w:r>
    </w:p>
    <w:p>
      <w:pPr>
        <w:spacing w:line="500" w:lineRule="exact"/>
        <w:rPr>
          <w:rFonts w:hint="eastAsia" w:ascii="方正黑体_GBK" w:eastAsia="方正黑体_GBK"/>
          <w:bCs/>
          <w:color w:val="000000"/>
          <w:sz w:val="32"/>
          <w:szCs w:val="32"/>
        </w:rPr>
      </w:pPr>
    </w:p>
    <w:p>
      <w:pPr>
        <w:spacing w:line="320" w:lineRule="exact"/>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 xml:space="preserve">维修企业名称：                                                   </w:t>
      </w:r>
    </w:p>
    <w:p>
      <w:pPr>
        <w:spacing w:line="320" w:lineRule="exact"/>
        <w:rPr>
          <w:rFonts w:hint="eastAsia" w:ascii="方正黑体_GBK" w:eastAsia="方正黑体_GBK"/>
          <w:bCs/>
          <w:color w:val="000000"/>
          <w:sz w:val="32"/>
          <w:szCs w:val="32"/>
        </w:rPr>
      </w:pPr>
      <w:r>
        <w:rPr>
          <w:rFonts w:hint="eastAsia" w:ascii="方正黑体_GBK" w:hAnsi="方正黑体_GBK" w:eastAsia="方正黑体_GBK" w:cs="方正黑体_GBK"/>
          <w:color w:val="000000"/>
          <w:kern w:val="0"/>
          <w:sz w:val="20"/>
          <w:lang w:bidi="ar"/>
        </w:rPr>
        <w:t>负责人：                                                 联系电话：</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0"/>
        <w:gridCol w:w="387"/>
        <w:gridCol w:w="428"/>
        <w:gridCol w:w="390"/>
        <w:gridCol w:w="5800"/>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评定</w:t>
            </w:r>
          </w:p>
          <w:p>
            <w:pPr>
              <w:widowControl/>
              <w:spacing w:line="260" w:lineRule="exact"/>
              <w:jc w:val="center"/>
              <w:textAlignment w:val="center"/>
              <w:rPr>
                <w:rFonts w:hint="eastAsia" w:ascii="方正黑体_GBK" w:hAnsi="方正黑体_GBK" w:eastAsia="方正黑体_GBK" w:cs="方正黑体_GBK"/>
                <w:color w:val="000000"/>
                <w:sz w:val="20"/>
              </w:rPr>
            </w:pPr>
            <w:r>
              <w:rPr>
                <w:rStyle w:val="14"/>
                <w:rFonts w:hint="default"/>
                <w:lang w:bidi="ar"/>
              </w:rPr>
              <w:t>项目</w:t>
            </w:r>
          </w:p>
        </w:tc>
        <w:tc>
          <w:tcPr>
            <w:tcW w:w="245" w:type="pc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大项</w:t>
            </w:r>
          </w:p>
          <w:p>
            <w:pPr>
              <w:widowControl/>
              <w:spacing w:line="260" w:lineRule="exact"/>
              <w:jc w:val="center"/>
              <w:textAlignment w:val="center"/>
              <w:rPr>
                <w:color w:val="000000"/>
                <w:sz w:val="20"/>
              </w:rPr>
            </w:pPr>
            <w:r>
              <w:rPr>
                <w:rStyle w:val="15"/>
                <w:rFonts w:hint="default"/>
                <w:lang w:bidi="ar"/>
              </w:rPr>
              <w:t>分值</w:t>
            </w:r>
          </w:p>
        </w:tc>
        <w:tc>
          <w:tcPr>
            <w:tcW w:w="270" w:type="pc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子项</w:t>
            </w:r>
          </w:p>
          <w:p>
            <w:pPr>
              <w:widowControl/>
              <w:spacing w:line="260" w:lineRule="exact"/>
              <w:jc w:val="center"/>
              <w:textAlignment w:val="center"/>
              <w:rPr>
                <w:color w:val="000000"/>
                <w:sz w:val="20"/>
              </w:rPr>
            </w:pPr>
            <w:r>
              <w:rPr>
                <w:rStyle w:val="15"/>
                <w:rFonts w:hint="default"/>
                <w:lang w:bidi="ar"/>
              </w:rPr>
              <w:t>分值</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rStyle w:val="15"/>
                <w:rFonts w:hint="default"/>
                <w:lang w:bidi="ar"/>
              </w:rPr>
              <w:t>子项序号</w:t>
            </w:r>
          </w:p>
        </w:tc>
        <w:tc>
          <w:tcPr>
            <w:tcW w:w="3575" w:type="pct"/>
            <w:noWrap w:val="0"/>
            <w:tcMar>
              <w:top w:w="15" w:type="dxa"/>
              <w:left w:w="15" w:type="dxa"/>
              <w:right w:w="15" w:type="dxa"/>
            </w:tcMar>
            <w:vAlign w:val="center"/>
          </w:tcPr>
          <w:p>
            <w:pPr>
              <w:widowControl/>
              <w:spacing w:line="260" w:lineRule="exact"/>
              <w:jc w:val="center"/>
              <w:textAlignment w:val="center"/>
              <w:rPr>
                <w:color w:val="000000"/>
                <w:sz w:val="20"/>
              </w:rPr>
            </w:pPr>
            <w:r>
              <w:rPr>
                <w:rStyle w:val="15"/>
                <w:rFonts w:hint="default"/>
                <w:lang w:bidi="ar"/>
              </w:rPr>
              <w:t>评定内容</w:t>
            </w:r>
          </w:p>
        </w:tc>
        <w:tc>
          <w:tcPr>
            <w:tcW w:w="308" w:type="pc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评定</w:t>
            </w:r>
          </w:p>
          <w:p>
            <w:pPr>
              <w:widowControl/>
              <w:spacing w:line="260" w:lineRule="exact"/>
              <w:jc w:val="center"/>
              <w:textAlignment w:val="center"/>
              <w:rPr>
                <w:color w:val="000000"/>
                <w:sz w:val="20"/>
              </w:rPr>
            </w:pPr>
            <w:r>
              <w:rPr>
                <w:rStyle w:val="15"/>
                <w:rFonts w:hint="default"/>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（一）</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人员</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条件</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120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w:t>
            </w:r>
          </w:p>
        </w:tc>
        <w:tc>
          <w:tcPr>
            <w:tcW w:w="3575" w:type="pct"/>
            <w:noWrap w:val="0"/>
            <w:tcMar>
              <w:top w:w="15" w:type="dxa"/>
              <w:left w:w="15" w:type="dxa"/>
              <w:right w:w="15" w:type="dxa"/>
            </w:tcMar>
            <w:vAlign w:val="center"/>
          </w:tcPr>
          <w:p>
            <w:pPr>
              <w:spacing w:line="260" w:lineRule="exact"/>
              <w:rPr>
                <w:color w:val="000000"/>
                <w:sz w:val="20"/>
              </w:rPr>
            </w:pPr>
            <w:r>
              <w:rPr>
                <w:rStyle w:val="16"/>
                <w:rFonts w:hint="default"/>
                <w:lang w:bidi="ar"/>
              </w:rPr>
              <w:t>按要求配备各类从业人员，技术负责人、质量检验员岗位设置或人员数量不符合要求的扣20分，其他人员岗位设置或人员数量不符合要求的扣5分/项。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技术负责人具有机动车维修或相关专业大专以上学历，或具有机动车维修或相关专业中级以上专业技术职称，具有5年以上机动车维修企业工作经历；未达到条件的扣10分/项。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质量检验员具有高中以上学历，连续在机修或电器岗位工作2年以上，具有与承修车型相适应的机动车驾驶证且安全驾驶1年以上；未达到条件的扣10分/项。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w:t>
            </w:r>
          </w:p>
        </w:tc>
        <w:tc>
          <w:tcPr>
            <w:tcW w:w="3575" w:type="pct"/>
            <w:noWrap w:val="0"/>
            <w:tcMar>
              <w:top w:w="15" w:type="dxa"/>
              <w:left w:w="15" w:type="dxa"/>
              <w:right w:w="15" w:type="dxa"/>
            </w:tcMar>
            <w:vAlign w:val="center"/>
          </w:tcPr>
          <w:p>
            <w:pPr>
              <w:spacing w:line="260" w:lineRule="exact"/>
              <w:rPr>
                <w:rFonts w:hint="eastAsia" w:ascii="宋体" w:hAnsi="宋体" w:cs="宋体"/>
                <w:color w:val="000000"/>
                <w:sz w:val="20"/>
              </w:rPr>
            </w:pPr>
            <w:r>
              <w:rPr>
                <w:rFonts w:hint="eastAsia" w:ascii="宋体" w:hAnsi="宋体" w:cs="宋体"/>
                <w:color w:val="000000"/>
                <w:kern w:val="0"/>
                <w:sz w:val="20"/>
                <w:lang w:bidi="ar"/>
              </w:rPr>
              <w:t>机修、电器、钣金、涂漆人员具有初中以上文化程度，连续从事本岗位工作</w:t>
            </w:r>
            <w:r>
              <w:rPr>
                <w:rStyle w:val="17"/>
                <w:lang w:bidi="ar"/>
              </w:rPr>
              <w:t>3</w:t>
            </w:r>
            <w:r>
              <w:rPr>
                <w:rStyle w:val="16"/>
                <w:rFonts w:hint="default"/>
                <w:lang w:bidi="ar"/>
              </w:rPr>
              <w:t>年以上，或本专业中职（高职）毕业连续从事本岗位工作</w:t>
            </w:r>
            <w:r>
              <w:rPr>
                <w:rStyle w:val="17"/>
                <w:lang w:bidi="ar"/>
              </w:rPr>
              <w:t>2</w:t>
            </w:r>
            <w:r>
              <w:rPr>
                <w:rStyle w:val="16"/>
                <w:rFonts w:hint="default"/>
                <w:lang w:bidi="ar"/>
              </w:rPr>
              <w:t>年（</w:t>
            </w:r>
            <w:r>
              <w:rPr>
                <w:rStyle w:val="17"/>
                <w:lang w:bidi="ar"/>
              </w:rPr>
              <w:t>1</w:t>
            </w:r>
            <w:r>
              <w:rPr>
                <w:rStyle w:val="16"/>
                <w:rFonts w:hint="default"/>
                <w:lang w:bidi="ar"/>
              </w:rPr>
              <w:t>年）以上，钣金人员持有焊工初级以上职业资格证书；未达到条件的扣</w:t>
            </w:r>
            <w:r>
              <w:rPr>
                <w:rStyle w:val="17"/>
                <w:lang w:bidi="ar"/>
              </w:rPr>
              <w:t>5</w:t>
            </w:r>
            <w:r>
              <w:rPr>
                <w:rStyle w:val="16"/>
                <w:rFonts w:hint="default"/>
                <w:lang w:bidi="ar"/>
              </w:rPr>
              <w:t>分</w:t>
            </w:r>
            <w:r>
              <w:rPr>
                <w:rStyle w:val="17"/>
                <w:lang w:bidi="ar"/>
              </w:rPr>
              <w:t>/</w:t>
            </w:r>
            <w:r>
              <w:rPr>
                <w:rStyle w:val="16"/>
                <w:rFonts w:hint="default"/>
                <w:lang w:bidi="ar"/>
              </w:rPr>
              <w:t>项（类）。</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3575" w:type="pct"/>
            <w:noWrap w:val="0"/>
            <w:tcMar>
              <w:top w:w="15" w:type="dxa"/>
              <w:left w:w="15" w:type="dxa"/>
              <w:right w:w="15" w:type="dxa"/>
            </w:tcMar>
            <w:vAlign w:val="center"/>
          </w:tcPr>
          <w:p>
            <w:pPr>
              <w:widowControl/>
              <w:spacing w:line="260" w:lineRule="exact"/>
              <w:textAlignment w:val="center"/>
              <w:rPr>
                <w:color w:val="000000"/>
                <w:kern w:val="0"/>
                <w:sz w:val="20"/>
                <w:lang w:bidi="ar"/>
              </w:rPr>
            </w:pPr>
            <w:r>
              <w:rPr>
                <w:color w:val="000000"/>
                <w:kern w:val="0"/>
                <w:sz w:val="20"/>
                <w:lang w:bidi="ar"/>
              </w:rPr>
              <w:t>技术负责人具有汽车维修相关专业本科及以上学历得5分，</w:t>
            </w:r>
            <w:r>
              <w:rPr>
                <w:rStyle w:val="16"/>
                <w:rFonts w:hint="default"/>
                <w:lang w:bidi="ar"/>
              </w:rPr>
              <w:t>质量检验员</w:t>
            </w:r>
            <w:r>
              <w:rPr>
                <w:color w:val="000000"/>
                <w:kern w:val="0"/>
                <w:sz w:val="20"/>
                <w:lang w:bidi="ar"/>
              </w:rPr>
              <w:t>具有大专（高职）学历得5分。</w:t>
            </w:r>
          </w:p>
          <w:p>
            <w:pPr>
              <w:widowControl/>
              <w:spacing w:line="260" w:lineRule="exact"/>
              <w:textAlignment w:val="center"/>
              <w:rPr>
                <w:rStyle w:val="16"/>
                <w:rFonts w:hint="default"/>
                <w:lang w:bidi="ar"/>
              </w:rPr>
            </w:pPr>
            <w:r>
              <w:rPr>
                <w:rStyle w:val="16"/>
                <w:rFonts w:hint="default"/>
                <w:lang w:bidi="ar"/>
              </w:rPr>
              <w:t>技术负责人被评为高级工程师或取得高级技师资格得10分，被评为工程师或取得技师资格得</w:t>
            </w:r>
            <w:r>
              <w:rPr>
                <w:rStyle w:val="18"/>
                <w:lang w:bidi="ar"/>
              </w:rPr>
              <w:t>8</w:t>
            </w:r>
            <w:r>
              <w:rPr>
                <w:rStyle w:val="16"/>
                <w:rFonts w:hint="default"/>
                <w:lang w:bidi="ar"/>
              </w:rPr>
              <w:t>分。</w:t>
            </w:r>
          </w:p>
          <w:p>
            <w:pPr>
              <w:widowControl/>
              <w:spacing w:line="260" w:lineRule="exact"/>
              <w:textAlignment w:val="center"/>
              <w:rPr>
                <w:color w:val="000000"/>
                <w:sz w:val="20"/>
              </w:rPr>
            </w:pPr>
            <w:r>
              <w:rPr>
                <w:rStyle w:val="16"/>
                <w:rFonts w:hint="default"/>
                <w:lang w:bidi="ar"/>
              </w:rPr>
              <w:t>技术人员取得高级技师、技师资格，分别得10分/8分</w:t>
            </w:r>
            <w:r>
              <w:rPr>
                <w:rStyle w:val="18"/>
                <w:lang w:bidi="ar"/>
              </w:rPr>
              <w:t>/</w:t>
            </w:r>
            <w:r>
              <w:rPr>
                <w:rStyle w:val="16"/>
                <w:rFonts w:hint="default"/>
                <w:lang w:bidi="ar"/>
              </w:rPr>
              <w:t>人；取得高级、中级、初级技工资格，分别得6分/3分</w:t>
            </w:r>
            <w:r>
              <w:rPr>
                <w:rStyle w:val="18"/>
                <w:lang w:bidi="ar"/>
              </w:rPr>
              <w:t>/</w:t>
            </w:r>
            <w:r>
              <w:rPr>
                <w:rStyle w:val="16"/>
                <w:rFonts w:hint="default"/>
                <w:lang w:bidi="ar"/>
              </w:rPr>
              <w:t>2分/人。</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textAlignment w:val="center"/>
              <w:rPr>
                <w:rStyle w:val="15"/>
                <w:rFonts w:hint="default"/>
                <w:lang w:bidi="ar"/>
              </w:rPr>
            </w:pPr>
          </w:p>
          <w:p>
            <w:pPr>
              <w:widowControl/>
              <w:spacing w:line="260" w:lineRule="exact"/>
              <w:jc w:val="center"/>
              <w:textAlignment w:val="center"/>
              <w:rPr>
                <w:rStyle w:val="15"/>
                <w:rFonts w:hint="default"/>
                <w:lang w:bidi="ar"/>
              </w:rPr>
            </w:pPr>
            <w:r>
              <w:rPr>
                <w:rStyle w:val="15"/>
                <w:rFonts w:hint="default"/>
                <w:lang w:bidi="ar"/>
              </w:rPr>
              <w:t>（二）</w:t>
            </w:r>
          </w:p>
          <w:p>
            <w:pPr>
              <w:widowControl/>
              <w:spacing w:line="260" w:lineRule="exact"/>
              <w:jc w:val="center"/>
              <w:textAlignment w:val="center"/>
              <w:rPr>
                <w:rStyle w:val="15"/>
                <w:rFonts w:hint="default"/>
                <w:lang w:bidi="ar"/>
              </w:rPr>
            </w:pPr>
            <w:r>
              <w:rPr>
                <w:rStyle w:val="15"/>
                <w:rFonts w:hint="default"/>
                <w:lang w:bidi="ar"/>
              </w:rPr>
              <w:t>安全</w:t>
            </w:r>
          </w:p>
          <w:p>
            <w:pPr>
              <w:widowControl/>
              <w:spacing w:line="260" w:lineRule="exact"/>
              <w:jc w:val="center"/>
              <w:textAlignment w:val="center"/>
              <w:rPr>
                <w:rStyle w:val="15"/>
                <w:rFonts w:hint="default"/>
                <w:lang w:bidi="ar"/>
              </w:rPr>
            </w:pPr>
            <w:r>
              <w:rPr>
                <w:rStyle w:val="15"/>
                <w:rFonts w:hint="default"/>
                <w:lang w:bidi="ar"/>
              </w:rPr>
              <w:t>生产</w:t>
            </w: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textAlignment w:val="center"/>
              <w:rPr>
                <w:rStyle w:val="15"/>
                <w:rFonts w:hint="default"/>
                <w:lang w:bidi="ar"/>
              </w:rPr>
            </w:pPr>
          </w:p>
          <w:p>
            <w:pPr>
              <w:widowControl/>
              <w:spacing w:line="260" w:lineRule="exact"/>
              <w:jc w:val="center"/>
              <w:textAlignment w:val="center"/>
              <w:rPr>
                <w:rStyle w:val="15"/>
                <w:rFonts w:hint="default"/>
                <w:lang w:bidi="ar"/>
              </w:rPr>
            </w:pPr>
          </w:p>
          <w:p>
            <w:pPr>
              <w:widowControl/>
              <w:spacing w:line="260" w:lineRule="exact"/>
              <w:jc w:val="center"/>
              <w:textAlignment w:val="center"/>
              <w:rPr>
                <w:rStyle w:val="15"/>
                <w:rFonts w:hint="default"/>
                <w:lang w:bidi="ar"/>
              </w:rPr>
            </w:pPr>
            <w:r>
              <w:rPr>
                <w:rStyle w:val="15"/>
                <w:rFonts w:hint="default"/>
                <w:lang w:bidi="ar"/>
              </w:rPr>
              <w:t>（二）</w:t>
            </w:r>
          </w:p>
          <w:p>
            <w:pPr>
              <w:widowControl/>
              <w:spacing w:line="260" w:lineRule="exact"/>
              <w:jc w:val="center"/>
              <w:textAlignment w:val="center"/>
              <w:rPr>
                <w:rStyle w:val="15"/>
                <w:rFonts w:hint="default"/>
                <w:lang w:bidi="ar"/>
              </w:rPr>
            </w:pPr>
            <w:r>
              <w:rPr>
                <w:rStyle w:val="15"/>
                <w:rFonts w:hint="default"/>
                <w:lang w:bidi="ar"/>
              </w:rPr>
              <w:t>安全</w:t>
            </w:r>
          </w:p>
          <w:p>
            <w:pPr>
              <w:widowControl/>
              <w:spacing w:line="260" w:lineRule="exact"/>
              <w:jc w:val="center"/>
              <w:textAlignment w:val="center"/>
              <w:rPr>
                <w:color w:val="000000"/>
                <w:sz w:val="20"/>
              </w:rPr>
            </w:pPr>
            <w:r>
              <w:rPr>
                <w:rStyle w:val="15"/>
                <w:rFonts w:hint="default"/>
                <w:lang w:bidi="ar"/>
              </w:rPr>
              <w:t>生产</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r>
              <w:rPr>
                <w:rFonts w:hint="eastAsia"/>
                <w:color w:val="000000"/>
                <w:kern w:val="0"/>
                <w:sz w:val="20"/>
                <w:lang w:bidi="ar"/>
              </w:rPr>
              <w:t>200</w:t>
            </w: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kern w:val="0"/>
                <w:sz w:val="20"/>
                <w:lang w:bidi="ar"/>
              </w:rPr>
            </w:pPr>
          </w:p>
          <w:p>
            <w:pPr>
              <w:widowControl/>
              <w:spacing w:line="260" w:lineRule="exact"/>
              <w:jc w:val="center"/>
              <w:textAlignment w:val="center"/>
              <w:rPr>
                <w:color w:val="000000"/>
                <w:sz w:val="20"/>
              </w:rPr>
            </w:pPr>
            <w:r>
              <w:rPr>
                <w:color w:val="000000"/>
                <w:kern w:val="0"/>
                <w:sz w:val="20"/>
                <w:lang w:bidi="ar"/>
              </w:rPr>
              <w:t>200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6</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未建立安全生产组织机构的扣</w:t>
            </w:r>
            <w:r>
              <w:rPr>
                <w:rStyle w:val="18"/>
                <w:lang w:bidi="ar"/>
              </w:rPr>
              <w:t>10</w:t>
            </w:r>
            <w:r>
              <w:rPr>
                <w:rStyle w:val="16"/>
                <w:rFonts w:hint="default"/>
                <w:lang w:bidi="ar"/>
              </w:rPr>
              <w:t>分，安全生产组织机构不健全的扣</w:t>
            </w:r>
            <w:r>
              <w:rPr>
                <w:rStyle w:val="18"/>
                <w:lang w:bidi="ar"/>
              </w:rPr>
              <w:t>5</w:t>
            </w:r>
            <w:r>
              <w:rPr>
                <w:rStyle w:val="16"/>
                <w:rFonts w:hint="default"/>
                <w:lang w:bidi="ar"/>
              </w:rPr>
              <w:t>分；安全生产责任制度不健全，各岗位人员安全责任制度不健全或未明示的扣</w:t>
            </w:r>
            <w:r>
              <w:rPr>
                <w:rStyle w:val="18"/>
                <w:lang w:bidi="ar"/>
              </w:rPr>
              <w:t>2</w:t>
            </w:r>
            <w:r>
              <w:rPr>
                <w:rStyle w:val="16"/>
                <w:rFonts w:hint="default"/>
                <w:lang w:bidi="ar"/>
              </w:rPr>
              <w:t>分</w:t>
            </w:r>
            <w:r>
              <w:rPr>
                <w:rStyle w:val="18"/>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7</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企业负责人未与从业</w:t>
            </w:r>
            <w:r>
              <w:rPr>
                <w:color w:val="000000"/>
                <w:kern w:val="0"/>
                <w:sz w:val="20"/>
                <w:lang w:bidi="ar"/>
              </w:rPr>
              <w:t>人员签订安全生产责任书明确安全责任的扣</w:t>
            </w:r>
            <w:r>
              <w:rPr>
                <w:rStyle w:val="18"/>
                <w:lang w:bidi="ar"/>
              </w:rPr>
              <w:t>5</w:t>
            </w:r>
            <w:r>
              <w:rPr>
                <w:rStyle w:val="16"/>
                <w:rFonts w:hint="default"/>
                <w:lang w:bidi="ar"/>
              </w:rPr>
              <w:t>分，安全生产责任书签订不齐的扣2分/人。</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8</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未按要求制订安全生产应急预案的扣</w:t>
            </w:r>
            <w:r>
              <w:rPr>
                <w:rStyle w:val="18"/>
                <w:lang w:bidi="ar"/>
              </w:rPr>
              <w:t>15</w:t>
            </w:r>
            <w:r>
              <w:rPr>
                <w:rStyle w:val="16"/>
                <w:rFonts w:hint="default"/>
                <w:lang w:bidi="ar"/>
              </w:rPr>
              <w:t>分；应急机构组成、责任人及分工、应急预案的启动与终止、应急救援工作程序等重点内容缺失的扣</w:t>
            </w:r>
            <w:r>
              <w:rPr>
                <w:rStyle w:val="18"/>
                <w:lang w:bidi="ar"/>
              </w:rPr>
              <w:t>3</w:t>
            </w:r>
            <w:r>
              <w:rPr>
                <w:rStyle w:val="16"/>
                <w:rFonts w:hint="default"/>
                <w:lang w:bidi="ar"/>
              </w:rPr>
              <w:t>分</w:t>
            </w:r>
            <w:r>
              <w:rPr>
                <w:rStyle w:val="18"/>
                <w:lang w:bidi="ar"/>
              </w:rPr>
              <w:t>/</w:t>
            </w:r>
            <w:r>
              <w:rPr>
                <w:rStyle w:val="16"/>
                <w:rFonts w:hint="default"/>
                <w:lang w:bidi="ar"/>
              </w:rPr>
              <w:t>项；未对应急预案进行定期演练或及时修订的扣</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9</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各类设备标识不清楚的扣2分/项；未按规定对计量器具、检测设备进行检定、校准的扣3分/项；特种设备管理不符合国家有关规定要求，未按要求设立警示标志的扣5分；重点设备未明示责任人的扣5分/项。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未确保生产设施设备、消防设施和器材齐全、完好、有效的扣</w:t>
            </w:r>
            <w:r>
              <w:rPr>
                <w:rStyle w:val="18"/>
                <w:lang w:bidi="ar"/>
              </w:rPr>
              <w:t>5</w:t>
            </w:r>
            <w:r>
              <w:rPr>
                <w:rStyle w:val="16"/>
                <w:rFonts w:hint="default"/>
                <w:lang w:bidi="ar"/>
              </w:rPr>
              <w:t>分</w:t>
            </w:r>
            <w:r>
              <w:rPr>
                <w:rStyle w:val="18"/>
                <w:lang w:bidi="ar"/>
              </w:rPr>
              <w:t>/</w:t>
            </w:r>
            <w:r>
              <w:rPr>
                <w:rStyle w:val="16"/>
                <w:rFonts w:hint="default"/>
                <w:lang w:bidi="ar"/>
              </w:rPr>
              <w:t>项；未按有关标准设置消防安全标志和安全通道的扣</w:t>
            </w:r>
            <w:r>
              <w:rPr>
                <w:rStyle w:val="18"/>
                <w:rFonts w:hint="eastAsia"/>
                <w:lang w:bidi="ar"/>
              </w:rPr>
              <w:t>5</w:t>
            </w:r>
            <w:r>
              <w:rPr>
                <w:rStyle w:val="16"/>
                <w:rFonts w:hint="default"/>
                <w:lang w:bidi="ar"/>
              </w:rPr>
              <w:t>分；未保持通道畅通的扣</w:t>
            </w:r>
            <w:r>
              <w:rPr>
                <w:rStyle w:val="17"/>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11</w:t>
            </w:r>
          </w:p>
        </w:tc>
        <w:tc>
          <w:tcPr>
            <w:tcW w:w="3575" w:type="pct"/>
            <w:noWrap w:val="0"/>
            <w:tcMar>
              <w:top w:w="15" w:type="dxa"/>
              <w:left w:w="15" w:type="dxa"/>
              <w:right w:w="15" w:type="dxa"/>
            </w:tcMar>
            <w:vAlign w:val="center"/>
          </w:tcPr>
          <w:p>
            <w:pPr>
              <w:spacing w:line="260" w:lineRule="exact"/>
              <w:rPr>
                <w:rFonts w:hint="eastAsia" w:ascii="宋体" w:hAnsi="宋体" w:cs="宋体"/>
                <w:color w:val="000000"/>
                <w:sz w:val="20"/>
              </w:rPr>
            </w:pPr>
            <w:r>
              <w:rPr>
                <w:rFonts w:hint="eastAsia" w:ascii="宋体" w:hAnsi="宋体" w:cs="宋体"/>
                <w:color w:val="000000"/>
                <w:kern w:val="0"/>
                <w:sz w:val="20"/>
                <w:lang w:bidi="ar"/>
              </w:rPr>
              <w:t>使用与存储有毒、易燃、易爆物品和粉尘、腐蚀剂、污染物、压力容器等未具备相应的安全防护措施和设施的扣</w:t>
            </w:r>
            <w:r>
              <w:rPr>
                <w:rStyle w:val="18"/>
                <w:lang w:bidi="ar"/>
              </w:rPr>
              <w:t>5</w:t>
            </w:r>
            <w:r>
              <w:rPr>
                <w:rStyle w:val="16"/>
                <w:rFonts w:hint="default"/>
                <w:lang w:bidi="ar"/>
              </w:rPr>
              <w:t>分</w:t>
            </w:r>
            <w:r>
              <w:rPr>
                <w:rStyle w:val="18"/>
                <w:lang w:bidi="ar"/>
              </w:rPr>
              <w:t>/</w:t>
            </w:r>
            <w:r>
              <w:rPr>
                <w:rStyle w:val="16"/>
                <w:rFonts w:hint="default"/>
                <w:lang w:bidi="ar"/>
              </w:rPr>
              <w:t>项；安全防护设施未设立明显的警示、禁令标志的扣</w:t>
            </w:r>
            <w:r>
              <w:rPr>
                <w:rStyle w:val="17"/>
                <w:lang w:bidi="ar"/>
              </w:rPr>
              <w:t>5</w:t>
            </w:r>
            <w:r>
              <w:rPr>
                <w:rStyle w:val="16"/>
                <w:rFonts w:hint="default"/>
                <w:lang w:bidi="ar"/>
              </w:rPr>
              <w:t>分</w:t>
            </w:r>
            <w:r>
              <w:rPr>
                <w:rStyle w:val="17"/>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12</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各类机电设备安全操作规程不健全或未对应明示的扣</w:t>
            </w:r>
            <w:r>
              <w:rPr>
                <w:rStyle w:val="17"/>
                <w:lang w:bidi="ar"/>
              </w:rPr>
              <w:t>10</w:t>
            </w:r>
            <w:r>
              <w:rPr>
                <w:rStyle w:val="19"/>
                <w:rFonts w:hint="default"/>
                <w:lang w:bidi="ar"/>
              </w:rPr>
              <w:t>分</w:t>
            </w:r>
            <w:r>
              <w:rPr>
                <w:rStyle w:val="17"/>
                <w:lang w:bidi="ar"/>
              </w:rPr>
              <w:t>/</w:t>
            </w:r>
            <w:r>
              <w:rPr>
                <w:rStyle w:val="19"/>
                <w:rFonts w:hint="default"/>
                <w:lang w:bidi="ar"/>
              </w:rPr>
              <w:t>项；随机被访人员不熟悉相应安全职责或安全操作规程的扣</w:t>
            </w:r>
            <w:r>
              <w:rPr>
                <w:rStyle w:val="17"/>
                <w:lang w:bidi="ar"/>
              </w:rPr>
              <w:t>5</w:t>
            </w:r>
            <w:r>
              <w:rPr>
                <w:rStyle w:val="19"/>
                <w:rFonts w:hint="default"/>
                <w:lang w:bidi="ar"/>
              </w:rPr>
              <w:t>分</w:t>
            </w:r>
            <w:r>
              <w:rPr>
                <w:rStyle w:val="17"/>
                <w:lang w:bidi="ar"/>
              </w:rPr>
              <w:t>/</w:t>
            </w:r>
            <w:r>
              <w:rPr>
                <w:rStyle w:val="19"/>
                <w:rFonts w:hint="default"/>
                <w:lang w:bidi="ar"/>
              </w:rPr>
              <w:t>人。</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13</w:t>
            </w:r>
          </w:p>
        </w:tc>
        <w:tc>
          <w:tcPr>
            <w:tcW w:w="3575" w:type="pct"/>
            <w:noWrap w:val="0"/>
            <w:tcMar>
              <w:top w:w="15" w:type="dxa"/>
              <w:left w:w="15" w:type="dxa"/>
              <w:right w:w="15" w:type="dxa"/>
            </w:tcMar>
            <w:vAlign w:val="center"/>
          </w:tcPr>
          <w:p>
            <w:pPr>
              <w:spacing w:line="260" w:lineRule="exact"/>
              <w:rPr>
                <w:rFonts w:hint="eastAsia" w:ascii="宋体" w:hAnsi="宋体" w:cs="宋体"/>
                <w:color w:val="000000"/>
                <w:sz w:val="20"/>
              </w:rPr>
            </w:pPr>
            <w:r>
              <w:rPr>
                <w:rFonts w:hint="eastAsia" w:ascii="宋体" w:hAnsi="宋体" w:cs="宋体"/>
                <w:color w:val="000000"/>
                <w:kern w:val="0"/>
                <w:sz w:val="20"/>
                <w:lang w:bidi="ar"/>
              </w:rPr>
              <w:t>未定期开展安全生产教育培训或警示教育的扣</w:t>
            </w:r>
            <w:r>
              <w:rPr>
                <w:rStyle w:val="18"/>
                <w:lang w:bidi="ar"/>
              </w:rPr>
              <w:t>5</w:t>
            </w:r>
            <w:r>
              <w:rPr>
                <w:rStyle w:val="16"/>
                <w:rFonts w:hint="default"/>
                <w:lang w:bidi="ar"/>
              </w:rPr>
              <w:t>分；未定期邀请消防部门专业人员到企业开展消防安全知识培训的扣</w:t>
            </w:r>
            <w:r>
              <w:rPr>
                <w:rStyle w:val="18"/>
                <w:lang w:bidi="ar"/>
              </w:rPr>
              <w:t>5</w:t>
            </w:r>
            <w:r>
              <w:rPr>
                <w:rStyle w:val="16"/>
                <w:rFonts w:hint="default"/>
                <w:lang w:bidi="ar"/>
              </w:rPr>
              <w:t>分，每年开展消防演练少于</w:t>
            </w:r>
            <w:r>
              <w:rPr>
                <w:rStyle w:val="18"/>
                <w:lang w:bidi="ar"/>
              </w:rPr>
              <w:t>1</w:t>
            </w:r>
            <w:r>
              <w:rPr>
                <w:rStyle w:val="16"/>
                <w:rFonts w:hint="default"/>
                <w:lang w:bidi="ar"/>
              </w:rPr>
              <w:t>次的扣</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14</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未定期开展安全生产监督检查和隐患排查的扣</w:t>
            </w:r>
            <w:r>
              <w:rPr>
                <w:rStyle w:val="17"/>
                <w:lang w:bidi="ar"/>
              </w:rPr>
              <w:t>20</w:t>
            </w:r>
            <w:r>
              <w:rPr>
                <w:rStyle w:val="16"/>
                <w:rFonts w:hint="default"/>
                <w:lang w:bidi="ar"/>
              </w:rPr>
              <w:t>分；整改措施不到位的扣</w:t>
            </w:r>
            <w:r>
              <w:rPr>
                <w:rStyle w:val="17"/>
                <w:lang w:bidi="ar"/>
              </w:rPr>
              <w:t>10</w:t>
            </w:r>
            <w:r>
              <w:rPr>
                <w:rStyle w:val="16"/>
                <w:rFonts w:hint="default"/>
                <w:lang w:bidi="ar"/>
              </w:rPr>
              <w:t>分</w:t>
            </w:r>
            <w:r>
              <w:rPr>
                <w:rStyle w:val="17"/>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3575" w:type="pct"/>
            <w:noWrap w:val="0"/>
            <w:tcMar>
              <w:top w:w="15" w:type="dxa"/>
              <w:left w:w="15" w:type="dxa"/>
              <w:right w:w="15" w:type="dxa"/>
            </w:tcMar>
            <w:vAlign w:val="center"/>
          </w:tcPr>
          <w:p>
            <w:pPr>
              <w:spacing w:line="260" w:lineRule="exact"/>
              <w:rPr>
                <w:rFonts w:eastAsia="方正仿宋_GBK"/>
                <w:bCs/>
                <w:color w:val="000000"/>
                <w:sz w:val="32"/>
                <w:szCs w:val="32"/>
              </w:rPr>
            </w:pPr>
            <w:r>
              <w:rPr>
                <w:rStyle w:val="19"/>
                <w:rFonts w:hint="default"/>
                <w:lang w:bidi="ar"/>
              </w:rPr>
              <w:t>未按规定为技术人员（钣金、涂漆）配备护听器、眼护具、防尘口罩、防毒护具、防护手套、防护服等劳动防护用品的扣</w:t>
            </w:r>
            <w:r>
              <w:rPr>
                <w:rStyle w:val="17"/>
                <w:lang w:bidi="ar"/>
              </w:rPr>
              <w:t>5</w:t>
            </w:r>
            <w:r>
              <w:rPr>
                <w:rStyle w:val="19"/>
                <w:rFonts w:hint="default"/>
                <w:lang w:bidi="ar"/>
              </w:rPr>
              <w:t>分</w:t>
            </w:r>
            <w:r>
              <w:rPr>
                <w:rStyle w:val="17"/>
                <w:lang w:bidi="ar"/>
              </w:rPr>
              <w:t>/</w:t>
            </w:r>
            <w:r>
              <w:rPr>
                <w:rStyle w:val="19"/>
                <w:rFonts w:hint="default"/>
                <w:lang w:bidi="ar"/>
              </w:rPr>
              <w:t>项；技术人员未按规定使用劳动防护用品的扣</w:t>
            </w:r>
            <w:r>
              <w:rPr>
                <w:rStyle w:val="17"/>
                <w:lang w:bidi="ar"/>
              </w:rPr>
              <w:t>5</w:t>
            </w:r>
            <w:r>
              <w:rPr>
                <w:rStyle w:val="19"/>
                <w:rFonts w:hint="default"/>
                <w:lang w:bidi="ar"/>
              </w:rPr>
              <w:t>分</w:t>
            </w:r>
            <w:r>
              <w:rPr>
                <w:rStyle w:val="17"/>
                <w:lang w:bidi="ar"/>
              </w:rPr>
              <w:t>/</w:t>
            </w:r>
            <w:r>
              <w:rPr>
                <w:rStyle w:val="19"/>
                <w:rFonts w:hint="default"/>
                <w:lang w:bidi="ar"/>
              </w:rPr>
              <w:t>项。</w:t>
            </w:r>
          </w:p>
          <w:p>
            <w:pPr>
              <w:widowControl/>
              <w:spacing w:line="260" w:lineRule="exact"/>
              <w:textAlignment w:val="center"/>
              <w:rPr>
                <w:color w:val="000000"/>
                <w:sz w:val="20"/>
              </w:rPr>
            </w:pP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定期开展作业环境检测，得</w:t>
            </w:r>
            <w:r>
              <w:rPr>
                <w:rStyle w:val="17"/>
                <w:lang w:bidi="ar"/>
              </w:rPr>
              <w:t>5</w:t>
            </w:r>
            <w:r>
              <w:rPr>
                <w:rStyle w:val="19"/>
                <w:rFonts w:hint="default"/>
                <w:lang w:bidi="ar"/>
              </w:rPr>
              <w:t>分；定期开展员工职业健康体检，建立员工健康档案，得</w:t>
            </w:r>
            <w:r>
              <w:rPr>
                <w:rStyle w:val="17"/>
                <w:lang w:bidi="ar"/>
              </w:rPr>
              <w:t>5</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17</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发生安全生产责任事故或维修质量责任事故的扣</w:t>
            </w:r>
            <w:r>
              <w:rPr>
                <w:rStyle w:val="17"/>
                <w:lang w:bidi="ar"/>
              </w:rPr>
              <w:t>10</w:t>
            </w:r>
            <w:r>
              <w:rPr>
                <w:rStyle w:val="16"/>
                <w:rFonts w:hint="default"/>
                <w:lang w:bidi="ar"/>
              </w:rPr>
              <w:t>分</w:t>
            </w:r>
            <w:r>
              <w:rPr>
                <w:rStyle w:val="17"/>
                <w:lang w:bidi="ar"/>
              </w:rPr>
              <w:t>/</w:t>
            </w:r>
            <w:r>
              <w:rPr>
                <w:rStyle w:val="16"/>
                <w:rFonts w:hint="default"/>
                <w:lang w:bidi="ar"/>
              </w:rPr>
              <w:t>起，造成人员受伤的扣</w:t>
            </w:r>
            <w:r>
              <w:rPr>
                <w:rStyle w:val="17"/>
                <w:lang w:bidi="ar"/>
              </w:rPr>
              <w:t>20</w:t>
            </w:r>
            <w:r>
              <w:rPr>
                <w:rStyle w:val="16"/>
                <w:rFonts w:hint="default"/>
                <w:lang w:bidi="ar"/>
              </w:rPr>
              <w:t>分，造成人员死亡的</w:t>
            </w:r>
            <w:r>
              <w:rPr>
                <w:rStyle w:val="17"/>
                <w:lang w:bidi="ar"/>
              </w:rPr>
              <w:t>“</w:t>
            </w:r>
            <w:r>
              <w:rPr>
                <w:rStyle w:val="16"/>
                <w:rFonts w:hint="default"/>
                <w:lang w:bidi="ar"/>
              </w:rPr>
              <w:t>安全生产</w:t>
            </w:r>
            <w:r>
              <w:rPr>
                <w:rStyle w:val="17"/>
                <w:lang w:bidi="ar"/>
              </w:rPr>
              <w:t>”</w:t>
            </w:r>
            <w:r>
              <w:rPr>
                <w:rStyle w:val="16"/>
                <w:rFonts w:hint="default"/>
                <w:lang w:bidi="ar"/>
              </w:rPr>
              <w:t>大项不得分。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（三）</w:t>
            </w:r>
          </w:p>
          <w:p>
            <w:pPr>
              <w:widowControl/>
              <w:spacing w:line="260" w:lineRule="exact"/>
              <w:jc w:val="center"/>
              <w:textAlignment w:val="center"/>
              <w:rPr>
                <w:rStyle w:val="15"/>
                <w:rFonts w:hint="default"/>
                <w:lang w:bidi="ar"/>
              </w:rPr>
            </w:pPr>
            <w:r>
              <w:rPr>
                <w:rStyle w:val="15"/>
                <w:rFonts w:hint="default"/>
                <w:lang w:bidi="ar"/>
              </w:rPr>
              <w:t>经营</w:t>
            </w:r>
          </w:p>
          <w:p>
            <w:pPr>
              <w:widowControl/>
              <w:spacing w:line="260" w:lineRule="exact"/>
              <w:jc w:val="center"/>
              <w:textAlignment w:val="center"/>
              <w:rPr>
                <w:color w:val="000000"/>
                <w:sz w:val="20"/>
              </w:rPr>
            </w:pPr>
            <w:r>
              <w:rPr>
                <w:rStyle w:val="15"/>
                <w:rFonts w:hint="default"/>
                <w:lang w:bidi="ar"/>
              </w:rPr>
              <w:t>管理</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120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未业务接待区域醒目位置悬挂</w:t>
            </w:r>
            <w:r>
              <w:rPr>
                <w:rStyle w:val="17"/>
                <w:lang w:bidi="ar"/>
              </w:rPr>
              <w:t>“</w:t>
            </w:r>
            <w:r>
              <w:rPr>
                <w:rStyle w:val="19"/>
                <w:rFonts w:hint="default"/>
                <w:lang w:bidi="ar"/>
              </w:rPr>
              <w:t>机动车维修标志牌</w:t>
            </w:r>
            <w:r>
              <w:rPr>
                <w:rStyle w:val="17"/>
                <w:lang w:bidi="ar"/>
              </w:rPr>
              <w:t>”</w:t>
            </w:r>
            <w:r>
              <w:rPr>
                <w:rStyle w:val="19"/>
                <w:rFonts w:hint="default"/>
                <w:lang w:bidi="ar"/>
              </w:rPr>
              <w:t>的扣</w:t>
            </w:r>
            <w:r>
              <w:rPr>
                <w:rStyle w:val="17"/>
                <w:lang w:bidi="ar"/>
              </w:rPr>
              <w:t>5</w:t>
            </w:r>
            <w:r>
              <w:rPr>
                <w:rStyle w:val="19"/>
                <w:rFonts w:hint="default"/>
                <w:lang w:bidi="ar"/>
              </w:rPr>
              <w:t>分；未按要求公示工商营业执照、辖区行业管理部门、消费者协会及企业投诉监督电话等信息的扣</w:t>
            </w:r>
            <w:r>
              <w:rPr>
                <w:rStyle w:val="17"/>
                <w:lang w:bidi="ar"/>
              </w:rPr>
              <w:t>3</w:t>
            </w:r>
            <w:r>
              <w:rPr>
                <w:rStyle w:val="19"/>
                <w:rFonts w:hint="default"/>
                <w:lang w:bidi="ar"/>
              </w:rPr>
              <w:t>分</w:t>
            </w:r>
            <w:r>
              <w:rPr>
                <w:rStyle w:val="17"/>
                <w:lang w:bidi="ar"/>
              </w:rPr>
              <w:t>/</w:t>
            </w:r>
            <w:r>
              <w:rPr>
                <w:rStyle w:val="19"/>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19</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未按要求在业务接待区域醒目位置公示企业负责人、技术负责人、业务接待员、质量检验员及主要维修技术人员岗位、照片、工号等信息的扣</w:t>
            </w:r>
            <w:r>
              <w:rPr>
                <w:rStyle w:val="17"/>
                <w:lang w:bidi="ar"/>
              </w:rPr>
              <w:t>5</w:t>
            </w:r>
            <w:r>
              <w:rPr>
                <w:rStyle w:val="19"/>
                <w:rFonts w:hint="default"/>
                <w:lang w:bidi="ar"/>
              </w:rPr>
              <w:t>分</w:t>
            </w:r>
            <w:r>
              <w:rPr>
                <w:rStyle w:val="17"/>
                <w:lang w:bidi="ar"/>
              </w:rPr>
              <w:t>/</w:t>
            </w:r>
            <w:r>
              <w:rPr>
                <w:rStyle w:val="19"/>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未按要求业务接待区域醒目位置公示备案的维修工时定额及工时单价、常用配件价格等信息的扣</w:t>
            </w:r>
            <w:r>
              <w:rPr>
                <w:rStyle w:val="17"/>
                <w:lang w:bidi="ar"/>
              </w:rPr>
              <w:t>10</w:t>
            </w:r>
            <w:r>
              <w:rPr>
                <w:rStyle w:val="19"/>
                <w:rFonts w:hint="default"/>
                <w:lang w:bidi="ar"/>
              </w:rPr>
              <w:t>分</w:t>
            </w:r>
            <w:r>
              <w:rPr>
                <w:rStyle w:val="17"/>
                <w:lang w:bidi="ar"/>
              </w:rPr>
              <w:t>/</w:t>
            </w:r>
            <w:r>
              <w:rPr>
                <w:rStyle w:val="19"/>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21</w:t>
            </w:r>
          </w:p>
        </w:tc>
        <w:tc>
          <w:tcPr>
            <w:tcW w:w="3575" w:type="pct"/>
            <w:noWrap w:val="0"/>
            <w:tcMar>
              <w:top w:w="15" w:type="dxa"/>
              <w:left w:w="15" w:type="dxa"/>
              <w:right w:w="15" w:type="dxa"/>
            </w:tcMar>
            <w:vAlign w:val="center"/>
          </w:tcPr>
          <w:p>
            <w:pPr>
              <w:spacing w:line="260" w:lineRule="exact"/>
              <w:rPr>
                <w:color w:val="000000"/>
                <w:sz w:val="20"/>
              </w:rPr>
            </w:pPr>
            <w:r>
              <w:rPr>
                <w:rStyle w:val="19"/>
                <w:rFonts w:hint="default"/>
                <w:lang w:bidi="ar"/>
              </w:rPr>
              <w:t>建立维修服务流程、业务受理程序、服务质量承诺、投诉受理程序和方式等制度并明示，提供汽车紧急维修救援服务的公布服务时间、电话、收费标准；制度不健全或未明示的扣</w:t>
            </w:r>
            <w:r>
              <w:rPr>
                <w:rStyle w:val="17"/>
                <w:lang w:bidi="ar"/>
              </w:rPr>
              <w:t>5</w:t>
            </w:r>
            <w:r>
              <w:rPr>
                <w:rStyle w:val="19"/>
                <w:rFonts w:hint="default"/>
                <w:lang w:bidi="ar"/>
              </w:rPr>
              <w:t>分</w:t>
            </w:r>
            <w:r>
              <w:rPr>
                <w:rStyle w:val="17"/>
                <w:lang w:bidi="ar"/>
              </w:rPr>
              <w:t>/</w:t>
            </w:r>
            <w:r>
              <w:rPr>
                <w:rStyle w:val="19"/>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22</w:t>
            </w:r>
          </w:p>
        </w:tc>
        <w:tc>
          <w:tcPr>
            <w:tcW w:w="3575" w:type="pct"/>
            <w:noWrap w:val="0"/>
            <w:tcMar>
              <w:top w:w="15" w:type="dxa"/>
              <w:left w:w="15" w:type="dxa"/>
              <w:right w:w="15" w:type="dxa"/>
            </w:tcMar>
            <w:vAlign w:val="center"/>
          </w:tcPr>
          <w:p>
            <w:pPr>
              <w:spacing w:line="260" w:lineRule="exact"/>
              <w:rPr>
                <w:color w:val="000000"/>
                <w:sz w:val="20"/>
              </w:rPr>
            </w:pPr>
            <w:r>
              <w:rPr>
                <w:rStyle w:val="19"/>
                <w:rFonts w:hint="default"/>
                <w:lang w:bidi="ar"/>
              </w:rPr>
              <w:t>建立采购配件登记制度，查验产品合格证，做好采购登记和入出库明细台账，采购登记内容包括：配件名称、规格型号、购买时间、供应商信息等；未建立采购登记或入出库明细的扣</w:t>
            </w:r>
            <w:r>
              <w:rPr>
                <w:rStyle w:val="17"/>
                <w:lang w:bidi="ar"/>
              </w:rPr>
              <w:t>10</w:t>
            </w:r>
            <w:r>
              <w:rPr>
                <w:rStyle w:val="19"/>
                <w:rFonts w:hint="default"/>
                <w:lang w:bidi="ar"/>
              </w:rPr>
              <w:t>分，登记内容缺失的扣</w:t>
            </w:r>
            <w:r>
              <w:rPr>
                <w:rStyle w:val="17"/>
                <w:lang w:bidi="ar"/>
              </w:rPr>
              <w:t>3</w:t>
            </w:r>
            <w:r>
              <w:rPr>
                <w:rStyle w:val="19"/>
                <w:rFonts w:hint="default"/>
                <w:lang w:bidi="ar"/>
              </w:rPr>
              <w:t>分</w:t>
            </w:r>
            <w:r>
              <w:rPr>
                <w:rStyle w:val="17"/>
                <w:lang w:bidi="ar"/>
              </w:rPr>
              <w:t>/</w:t>
            </w:r>
            <w:r>
              <w:rPr>
                <w:rStyle w:val="19"/>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23</w:t>
            </w:r>
          </w:p>
        </w:tc>
        <w:tc>
          <w:tcPr>
            <w:tcW w:w="3575" w:type="pct"/>
            <w:noWrap w:val="0"/>
            <w:tcMar>
              <w:top w:w="15" w:type="dxa"/>
              <w:left w:w="15" w:type="dxa"/>
              <w:right w:w="15" w:type="dxa"/>
            </w:tcMar>
            <w:vAlign w:val="center"/>
          </w:tcPr>
          <w:p>
            <w:pPr>
              <w:spacing w:line="260" w:lineRule="exact"/>
              <w:rPr>
                <w:rStyle w:val="16"/>
                <w:rFonts w:hint="default"/>
                <w:lang w:bidi="ar"/>
              </w:rPr>
            </w:pPr>
            <w:r>
              <w:rPr>
                <w:rStyle w:val="16"/>
                <w:rFonts w:hint="default"/>
                <w:lang w:bidi="ar"/>
              </w:rPr>
              <w:t>按规定条件和原厂配件、同质配件、修复配件分类储存保管配件，建立配件标识卡，标识卡内容包括：配件名称、规格型号、配件价格、适用车型等信息；未分类保管配件的扣</w:t>
            </w:r>
            <w:r>
              <w:rPr>
                <w:rStyle w:val="18"/>
                <w:lang w:bidi="ar"/>
              </w:rPr>
              <w:t>10</w:t>
            </w:r>
            <w:r>
              <w:rPr>
                <w:rStyle w:val="16"/>
                <w:rFonts w:hint="default"/>
                <w:lang w:bidi="ar"/>
              </w:rPr>
              <w:t>分，未建立标识卡的扣</w:t>
            </w:r>
            <w:r>
              <w:rPr>
                <w:rStyle w:val="18"/>
                <w:lang w:bidi="ar"/>
              </w:rPr>
              <w:t>10</w:t>
            </w:r>
            <w:r>
              <w:rPr>
                <w:rStyle w:val="16"/>
                <w:rFonts w:hint="default"/>
                <w:lang w:bidi="ar"/>
              </w:rPr>
              <w:t>分，标识卡内容缺失的扣</w:t>
            </w:r>
            <w:r>
              <w:rPr>
                <w:rStyle w:val="17"/>
                <w:lang w:bidi="ar"/>
              </w:rPr>
              <w:t>4</w:t>
            </w:r>
            <w:r>
              <w:rPr>
                <w:rStyle w:val="16"/>
                <w:rFonts w:hint="default"/>
                <w:lang w:bidi="ar"/>
              </w:rPr>
              <w:t>分</w:t>
            </w:r>
            <w:r>
              <w:rPr>
                <w:rStyle w:val="17"/>
                <w:lang w:bidi="ar"/>
              </w:rPr>
              <w:t>/</w:t>
            </w:r>
            <w:r>
              <w:rPr>
                <w:rStyle w:val="16"/>
                <w:rFonts w:hint="default"/>
                <w:lang w:bidi="ar"/>
              </w:rPr>
              <w:t>项。</w:t>
            </w:r>
          </w:p>
          <w:p>
            <w:pPr>
              <w:spacing w:line="260" w:lineRule="exact"/>
              <w:rPr>
                <w:color w:val="000000"/>
                <w:sz w:val="20"/>
              </w:rPr>
            </w:pPr>
            <w:r>
              <w:rPr>
                <w:rStyle w:val="16"/>
                <w:rFonts w:hint="default"/>
                <w:lang w:bidi="ar"/>
              </w:rPr>
              <w:t>配件实现信息化系统管理，得</w:t>
            </w:r>
            <w:r>
              <w:rPr>
                <w:rStyle w:val="17"/>
                <w:lang w:bidi="ar"/>
              </w:rPr>
              <w:t>20</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24</w:t>
            </w:r>
          </w:p>
        </w:tc>
        <w:tc>
          <w:tcPr>
            <w:tcW w:w="3575" w:type="pct"/>
            <w:noWrap w:val="0"/>
            <w:tcMar>
              <w:top w:w="15" w:type="dxa"/>
              <w:left w:w="15" w:type="dxa"/>
              <w:right w:w="15" w:type="dxa"/>
            </w:tcMar>
            <w:vAlign w:val="center"/>
          </w:tcPr>
          <w:p>
            <w:pPr>
              <w:spacing w:line="260" w:lineRule="exact"/>
              <w:rPr>
                <w:color w:val="000000"/>
                <w:sz w:val="20"/>
              </w:rPr>
            </w:pPr>
            <w:r>
              <w:rPr>
                <w:rStyle w:val="16"/>
                <w:rFonts w:hint="default"/>
                <w:lang w:bidi="ar"/>
              </w:rPr>
              <w:t>按配件制造厂规定执行原厂配件质量保证期，修复配件按承托双方约定执行质量保证期；未按要求执行配件质保期制度的扣</w:t>
            </w:r>
            <w:r>
              <w:rPr>
                <w:rStyle w:val="18"/>
                <w:lang w:bidi="ar"/>
              </w:rPr>
              <w:t>5</w:t>
            </w:r>
            <w:r>
              <w:rPr>
                <w:rStyle w:val="16"/>
                <w:rFonts w:hint="default"/>
                <w:lang w:bidi="ar"/>
              </w:rPr>
              <w:t>分，未向托修方提供配件查询服务的扣</w:t>
            </w:r>
            <w:r>
              <w:rPr>
                <w:rStyle w:val="17"/>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25</w:t>
            </w:r>
          </w:p>
        </w:tc>
        <w:tc>
          <w:tcPr>
            <w:tcW w:w="3575" w:type="pct"/>
            <w:noWrap w:val="0"/>
            <w:tcMar>
              <w:top w:w="15" w:type="dxa"/>
              <w:left w:w="15" w:type="dxa"/>
              <w:right w:w="15" w:type="dxa"/>
            </w:tcMar>
            <w:vAlign w:val="center"/>
          </w:tcPr>
          <w:p>
            <w:pPr>
              <w:pStyle w:val="4"/>
              <w:spacing w:line="260" w:lineRule="exact"/>
              <w:rPr>
                <w:color w:val="000000"/>
                <w:sz w:val="20"/>
              </w:rPr>
            </w:pPr>
            <w:r>
              <w:rPr>
                <w:rStyle w:val="20"/>
                <w:rFonts w:hint="default"/>
                <w:lang w:bidi="ar"/>
              </w:rPr>
              <w:t>未建立托修方自带配件登记台账的扣</w:t>
            </w:r>
            <w:r>
              <w:rPr>
                <w:rStyle w:val="17"/>
                <w:lang w:bidi="ar"/>
              </w:rPr>
              <w:t>5</w:t>
            </w:r>
            <w:r>
              <w:rPr>
                <w:rStyle w:val="20"/>
                <w:rFonts w:hint="default"/>
                <w:lang w:bidi="ar"/>
              </w:rPr>
              <w:t>分；自带配件合格证查验和配件使用记录、托修方签字记录不完善的扣</w:t>
            </w:r>
            <w:r>
              <w:rPr>
                <w:rStyle w:val="17"/>
                <w:lang w:bidi="ar"/>
              </w:rPr>
              <w:t>2</w:t>
            </w:r>
            <w:r>
              <w:rPr>
                <w:rStyle w:val="20"/>
                <w:rFonts w:hint="default"/>
                <w:lang w:bidi="ar"/>
              </w:rPr>
              <w:t>分</w:t>
            </w:r>
            <w:r>
              <w:rPr>
                <w:rStyle w:val="17"/>
                <w:lang w:bidi="ar"/>
              </w:rPr>
              <w:t>/</w:t>
            </w:r>
            <w:r>
              <w:rPr>
                <w:rStyle w:val="20"/>
                <w:rFonts w:hint="default"/>
                <w:lang w:bidi="ar"/>
              </w:rPr>
              <w:t>项；换下的配件未交由托修方自行处理的扣</w:t>
            </w:r>
            <w:r>
              <w:rPr>
                <w:rStyle w:val="17"/>
                <w:lang w:bidi="ar"/>
              </w:rPr>
              <w:t>5</w:t>
            </w:r>
            <w:r>
              <w:rPr>
                <w:rStyle w:val="20"/>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（四）</w:t>
            </w:r>
          </w:p>
          <w:p>
            <w:pPr>
              <w:widowControl/>
              <w:spacing w:line="260" w:lineRule="exact"/>
              <w:jc w:val="center"/>
              <w:textAlignment w:val="center"/>
              <w:rPr>
                <w:rStyle w:val="15"/>
                <w:rFonts w:hint="default"/>
                <w:lang w:bidi="ar"/>
              </w:rPr>
            </w:pPr>
            <w:r>
              <w:rPr>
                <w:rStyle w:val="15"/>
                <w:rFonts w:hint="default"/>
                <w:lang w:bidi="ar"/>
              </w:rPr>
              <w:t>服务</w:t>
            </w:r>
          </w:p>
          <w:p>
            <w:pPr>
              <w:widowControl/>
              <w:spacing w:line="260" w:lineRule="exact"/>
              <w:jc w:val="center"/>
              <w:textAlignment w:val="center"/>
              <w:rPr>
                <w:color w:val="000000"/>
                <w:sz w:val="20"/>
              </w:rPr>
            </w:pPr>
            <w:r>
              <w:rPr>
                <w:rStyle w:val="15"/>
                <w:rFonts w:hint="default"/>
                <w:lang w:bidi="ar"/>
              </w:rPr>
              <w:t>质量</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250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汽车维修相关法规标准技术资料等齐备，内容应包括《重庆市道路运输管理条例》《机动车维修管理规定》《汽车维修业开业条件》</w:t>
            </w:r>
            <w:r>
              <w:rPr>
                <w:rStyle w:val="18"/>
                <w:lang w:bidi="ar"/>
              </w:rPr>
              <w:t>(</w:t>
            </w:r>
            <w:r>
              <w:rPr>
                <w:rStyle w:val="17"/>
                <w:lang w:bidi="ar"/>
              </w:rPr>
              <w:t>GB/T 16739</w:t>
            </w:r>
            <w:r>
              <w:rPr>
                <w:rStyle w:val="18"/>
                <w:lang w:bidi="ar"/>
              </w:rPr>
              <w:t>)</w:t>
            </w:r>
            <w:r>
              <w:rPr>
                <w:rStyle w:val="16"/>
                <w:rFonts w:hint="default"/>
                <w:lang w:bidi="ar"/>
              </w:rPr>
              <w:t>、《汽车维护、检测、诊断技术规范》</w:t>
            </w:r>
            <w:r>
              <w:rPr>
                <w:rStyle w:val="17"/>
                <w:lang w:bidi="ar"/>
              </w:rPr>
              <w:t>(GB/T 18344)</w:t>
            </w:r>
            <w:r>
              <w:rPr>
                <w:rStyle w:val="16"/>
                <w:rFonts w:hint="default"/>
                <w:lang w:bidi="ar"/>
              </w:rPr>
              <w:t>、《机动车维修服务规范》</w:t>
            </w:r>
            <w:r>
              <w:rPr>
                <w:rStyle w:val="18"/>
                <w:lang w:bidi="ar"/>
              </w:rPr>
              <w:t>(</w:t>
            </w:r>
            <w:r>
              <w:rPr>
                <w:rStyle w:val="17"/>
                <w:rFonts w:hint="eastAsia"/>
                <w:lang w:bidi="ar"/>
              </w:rPr>
              <w:t>JT</w:t>
            </w:r>
            <w:r>
              <w:rPr>
                <w:rStyle w:val="17"/>
                <w:lang w:bidi="ar"/>
              </w:rPr>
              <w:t>/T 816</w:t>
            </w:r>
            <w:r>
              <w:rPr>
                <w:rStyle w:val="18"/>
                <w:lang w:bidi="ar"/>
              </w:rPr>
              <w:t>)</w:t>
            </w:r>
            <w:r>
              <w:rPr>
                <w:rStyle w:val="16"/>
                <w:rFonts w:hint="default"/>
                <w:lang w:bidi="ar"/>
              </w:rPr>
              <w:t>、《安全生产法》及所修车型维修技术资料和工艺文件，确保完整有效、及时更新；标准资料缺失或未更新的扣</w:t>
            </w:r>
            <w:r>
              <w:rPr>
                <w:rStyle w:val="17"/>
                <w:lang w:bidi="ar"/>
              </w:rPr>
              <w:t>5</w:t>
            </w:r>
            <w:r>
              <w:rPr>
                <w:rStyle w:val="16"/>
                <w:rFonts w:hint="default"/>
                <w:lang w:bidi="ar"/>
              </w:rPr>
              <w:t>分</w:t>
            </w:r>
            <w:r>
              <w:rPr>
                <w:rStyle w:val="17"/>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27</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未建立维修质量保证期制度或未在醒目位置公示的扣</w:t>
            </w:r>
            <w:r>
              <w:rPr>
                <w:rStyle w:val="18"/>
                <w:lang w:bidi="ar"/>
              </w:rPr>
              <w:t>20</w:t>
            </w:r>
            <w:r>
              <w:rPr>
                <w:rStyle w:val="16"/>
                <w:rFonts w:hint="default"/>
                <w:lang w:bidi="ar"/>
              </w:rPr>
              <w:t>分，质量保证期低于国家标准的扣</w:t>
            </w:r>
            <w:r>
              <w:rPr>
                <w:rStyle w:val="17"/>
                <w:lang w:bidi="ar"/>
              </w:rPr>
              <w:t>20</w:t>
            </w:r>
            <w:r>
              <w:rPr>
                <w:rStyle w:val="16"/>
                <w:rFonts w:hint="default"/>
                <w:lang w:bidi="ar"/>
              </w:rPr>
              <w:t>分，保证期项目缺失的扣</w:t>
            </w:r>
            <w:r>
              <w:rPr>
                <w:rStyle w:val="17"/>
                <w:lang w:bidi="ar"/>
              </w:rPr>
              <w:t>10</w:t>
            </w:r>
            <w:r>
              <w:rPr>
                <w:rStyle w:val="16"/>
                <w:rFonts w:hint="default"/>
                <w:lang w:bidi="ar"/>
              </w:rPr>
              <w:t>分</w:t>
            </w:r>
            <w:r>
              <w:rPr>
                <w:rStyle w:val="17"/>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未按要求对车辆进行进厂检验，确定维修类别和作业项目，无进厂检验记录的扣</w:t>
            </w:r>
            <w:r>
              <w:rPr>
                <w:rStyle w:val="18"/>
                <w:lang w:bidi="ar"/>
              </w:rPr>
              <w:t>10</w:t>
            </w:r>
            <w:r>
              <w:rPr>
                <w:rStyle w:val="16"/>
                <w:rFonts w:hint="default"/>
                <w:lang w:bidi="ar"/>
              </w:rPr>
              <w:t>分；未告知托修方诊断结果，未按要求拟定机动车维修合同（托修单）由托修方确认签字的扣</w:t>
            </w:r>
            <w:r>
              <w:rPr>
                <w:rStyle w:val="17"/>
                <w:lang w:bidi="ar"/>
              </w:rPr>
              <w:t>20</w:t>
            </w:r>
            <w:r>
              <w:rPr>
                <w:rStyle w:val="16"/>
                <w:rFonts w:hint="default"/>
                <w:lang w:bidi="ar"/>
              </w:rPr>
              <w:t>分；维修合同（托修单）中建议维修项目、需要更换的配件和维修费用预算等重要内容缺失的扣</w:t>
            </w:r>
            <w:r>
              <w:rPr>
                <w:rStyle w:val="17"/>
                <w:lang w:bidi="ar"/>
              </w:rPr>
              <w:t>10</w:t>
            </w:r>
            <w:r>
              <w:rPr>
                <w:rStyle w:val="16"/>
                <w:rFonts w:hint="default"/>
                <w:lang w:bidi="ar"/>
              </w:rPr>
              <w:t>分</w:t>
            </w:r>
            <w:r>
              <w:rPr>
                <w:rStyle w:val="17"/>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29</w:t>
            </w:r>
          </w:p>
        </w:tc>
        <w:tc>
          <w:tcPr>
            <w:tcW w:w="3575" w:type="pct"/>
            <w:noWrap w:val="0"/>
            <w:tcMar>
              <w:top w:w="15" w:type="dxa"/>
              <w:left w:w="15" w:type="dxa"/>
              <w:right w:w="15" w:type="dxa"/>
            </w:tcMar>
            <w:vAlign w:val="center"/>
          </w:tcPr>
          <w:p>
            <w:pPr>
              <w:widowControl/>
              <w:spacing w:line="260" w:lineRule="exact"/>
              <w:textAlignment w:val="center"/>
              <w:rPr>
                <w:rStyle w:val="16"/>
                <w:rFonts w:hint="default"/>
                <w:lang w:bidi="ar"/>
              </w:rPr>
            </w:pPr>
            <w:r>
              <w:rPr>
                <w:rStyle w:val="16"/>
                <w:rFonts w:hint="default"/>
                <w:lang w:bidi="ar"/>
              </w:rPr>
              <w:t>按要求建立汽车维修档案，并实现电子化管理，档案内容包括维修合同（托修单）、维修项目、维修人员及结算清单等，进行二级维护、总成修理、整车修理的，还应包括由质量检验员签章的质量检验单、维修竣工出厂合格证（副本）；档案内容缺失或单据填写不规范的扣</w:t>
            </w:r>
            <w:r>
              <w:rPr>
                <w:rStyle w:val="17"/>
                <w:lang w:bidi="ar"/>
              </w:rPr>
              <w:t>20</w:t>
            </w:r>
            <w:r>
              <w:rPr>
                <w:rStyle w:val="16"/>
                <w:rFonts w:hint="default"/>
                <w:lang w:bidi="ar"/>
              </w:rPr>
              <w:t>分</w:t>
            </w:r>
            <w:r>
              <w:rPr>
                <w:rStyle w:val="17"/>
                <w:lang w:bidi="ar"/>
              </w:rPr>
              <w:t>/</w:t>
            </w:r>
            <w:r>
              <w:rPr>
                <w:rStyle w:val="16"/>
                <w:rFonts w:hint="default"/>
                <w:lang w:bidi="ar"/>
              </w:rPr>
              <w:t>项。</w:t>
            </w:r>
          </w:p>
          <w:p>
            <w:pPr>
              <w:widowControl/>
              <w:spacing w:line="260" w:lineRule="exact"/>
              <w:textAlignment w:val="center"/>
              <w:rPr>
                <w:color w:val="000000"/>
                <w:sz w:val="20"/>
              </w:rPr>
            </w:pPr>
            <w:r>
              <w:rPr>
                <w:rStyle w:val="16"/>
                <w:rFonts w:hint="default"/>
                <w:lang w:bidi="ar"/>
              </w:rPr>
              <w:t>电子健康档案系统数据上传每天少于</w:t>
            </w:r>
            <w:r>
              <w:rPr>
                <w:rStyle w:val="17"/>
                <w:lang w:bidi="ar"/>
              </w:rPr>
              <w:t>3</w:t>
            </w:r>
            <w:r>
              <w:rPr>
                <w:rStyle w:val="16"/>
                <w:rFonts w:hint="default"/>
                <w:lang w:bidi="ar"/>
              </w:rPr>
              <w:t>辆次的扣</w:t>
            </w:r>
            <w:r>
              <w:rPr>
                <w:rStyle w:val="17"/>
                <w:lang w:bidi="ar"/>
              </w:rPr>
              <w:t>10</w:t>
            </w:r>
            <w:r>
              <w:rPr>
                <w:rStyle w:val="16"/>
                <w:rFonts w:hint="default"/>
                <w:lang w:bidi="ar"/>
              </w:rPr>
              <w:t>分</w:t>
            </w:r>
            <w:r>
              <w:rPr>
                <w:rStyle w:val="17"/>
                <w:lang w:bidi="ar"/>
              </w:rPr>
              <w:t>/</w:t>
            </w:r>
            <w:r>
              <w:rPr>
                <w:rStyle w:val="16"/>
                <w:rFonts w:hint="default"/>
                <w:lang w:bidi="ar"/>
              </w:rPr>
              <w:t>辆次；连续</w:t>
            </w:r>
            <w:r>
              <w:rPr>
                <w:rStyle w:val="17"/>
                <w:lang w:bidi="ar"/>
              </w:rPr>
              <w:t>5</w:t>
            </w:r>
            <w:r>
              <w:rPr>
                <w:rStyle w:val="16"/>
                <w:rFonts w:hint="default"/>
                <w:lang w:bidi="ar"/>
              </w:rPr>
              <w:t>天未上传数据的扣</w:t>
            </w:r>
            <w:r>
              <w:rPr>
                <w:rStyle w:val="18"/>
                <w:lang w:bidi="ar"/>
              </w:rPr>
              <w:t>50</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加强绿色汽修设施设备及工艺的升级改造，使用新设备、新工艺、新技术、新材料提升维修服务质量，得</w:t>
            </w:r>
            <w:r>
              <w:rPr>
                <w:rStyle w:val="17"/>
                <w:lang w:bidi="ar"/>
              </w:rPr>
              <w:t>10</w:t>
            </w:r>
            <w:r>
              <w:rPr>
                <w:rStyle w:val="16"/>
                <w:rFonts w:hint="default"/>
                <w:lang w:bidi="ar"/>
              </w:rPr>
              <w:t>分</w:t>
            </w:r>
            <w:r>
              <w:rPr>
                <w:rStyle w:val="18"/>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31</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配备专业化救援装备和技术人员，制定服务规范和收费标准，提供</w:t>
            </w:r>
            <w:r>
              <w:rPr>
                <w:rStyle w:val="17"/>
                <w:lang w:bidi="ar"/>
              </w:rPr>
              <w:t>24</w:t>
            </w:r>
            <w:r>
              <w:rPr>
                <w:rStyle w:val="19"/>
                <w:rFonts w:hint="default"/>
                <w:lang w:bidi="ar"/>
              </w:rPr>
              <w:t>小时维修救援服务，得</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32</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提供新能源汽车维修服务，设置独立的维修工位，按要求开展维修作业，得</w:t>
            </w:r>
            <w:r>
              <w:rPr>
                <w:rStyle w:val="17"/>
                <w:lang w:bidi="ar"/>
              </w:rPr>
              <w:t>20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widowControl/>
              <w:spacing w:line="260" w:lineRule="exact"/>
              <w:jc w:val="center"/>
              <w:textAlignment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textAlignment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33</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实现维修作业过程（含二级维护、尾气排放治理）视频监控管理，得</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34</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通过信息化手段为托修方提供维修过程透明化服务，得</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35</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建立维修服务信息化管理系统，对托修方信息、维修流程、配件采购和使用、配件追溯、维修费用结算、预约和回访等全过程进行管理，得</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提供电话、网络预约服务，提供代用车、上门接送车及各类定制化服务，得</w:t>
            </w:r>
            <w:r>
              <w:rPr>
                <w:rStyle w:val="17"/>
                <w:lang w:bidi="ar"/>
              </w:rPr>
              <w:t>5</w:t>
            </w:r>
            <w:r>
              <w:rPr>
                <w:rStyle w:val="19"/>
                <w:rFonts w:hint="default"/>
                <w:lang w:bidi="ar"/>
              </w:rPr>
              <w:t>分；提供车辆年审、车险、理赔等代办服务，得</w:t>
            </w:r>
            <w:r>
              <w:rPr>
                <w:rStyle w:val="17"/>
                <w:lang w:bidi="ar"/>
              </w:rPr>
              <w:t>5</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37</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维修服务完成后，主动邀请托修方通过电子健康档案系统进行服务质量评价，未邀请托修方评价的扣</w:t>
            </w:r>
            <w:r>
              <w:rPr>
                <w:rStyle w:val="17"/>
                <w:lang w:bidi="ar"/>
              </w:rPr>
              <w:t>3</w:t>
            </w:r>
            <w:r>
              <w:rPr>
                <w:rStyle w:val="16"/>
                <w:rFonts w:hint="default"/>
                <w:lang w:bidi="ar"/>
              </w:rPr>
              <w:t>分</w:t>
            </w:r>
            <w:r>
              <w:rPr>
                <w:rStyle w:val="17"/>
                <w:lang w:bidi="ar"/>
              </w:rPr>
              <w:t>/</w:t>
            </w:r>
            <w:r>
              <w:rPr>
                <w:rStyle w:val="16"/>
                <w:rFonts w:hint="default"/>
                <w:lang w:bidi="ar"/>
              </w:rPr>
              <w:t>次。</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未建立车辆返修与抱怨处理制度和客户回访记录台账的扣</w:t>
            </w:r>
            <w:r>
              <w:rPr>
                <w:rStyle w:val="18"/>
                <w:lang w:bidi="ar"/>
              </w:rPr>
              <w:t>20</w:t>
            </w:r>
            <w:r>
              <w:rPr>
                <w:rStyle w:val="16"/>
                <w:rFonts w:hint="default"/>
                <w:lang w:bidi="ar"/>
              </w:rPr>
              <w:t>分；客户回访、返修抱怨事项、意见建议、处理记录等内容缺失的扣</w:t>
            </w:r>
            <w:r>
              <w:rPr>
                <w:rStyle w:val="18"/>
                <w:lang w:bidi="ar"/>
              </w:rPr>
              <w:t>5</w:t>
            </w:r>
            <w:r>
              <w:rPr>
                <w:rStyle w:val="16"/>
                <w:rFonts w:hint="default"/>
                <w:lang w:bidi="ar"/>
              </w:rPr>
              <w:t>分</w:t>
            </w:r>
            <w:r>
              <w:rPr>
                <w:rStyle w:val="18"/>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（五）</w:t>
            </w:r>
          </w:p>
          <w:p>
            <w:pPr>
              <w:widowControl/>
              <w:spacing w:line="260" w:lineRule="exact"/>
              <w:jc w:val="center"/>
              <w:textAlignment w:val="center"/>
              <w:rPr>
                <w:rStyle w:val="14"/>
                <w:rFonts w:hint="default"/>
                <w:lang w:bidi="ar"/>
              </w:rPr>
            </w:pPr>
            <w:r>
              <w:rPr>
                <w:rStyle w:val="14"/>
                <w:rFonts w:hint="default"/>
                <w:lang w:bidi="ar"/>
              </w:rPr>
              <w:t>场地</w:t>
            </w:r>
          </w:p>
          <w:p>
            <w:pPr>
              <w:widowControl/>
              <w:spacing w:line="260" w:lineRule="exact"/>
              <w:jc w:val="center"/>
              <w:textAlignment w:val="center"/>
              <w:rPr>
                <w:rFonts w:hint="eastAsia" w:ascii="方正黑体_GBK" w:hAnsi="方正黑体_GBK" w:eastAsia="方正黑体_GBK" w:cs="方正黑体_GBK"/>
                <w:color w:val="000000"/>
                <w:sz w:val="20"/>
              </w:rPr>
            </w:pPr>
            <w:r>
              <w:rPr>
                <w:rStyle w:val="14"/>
                <w:rFonts w:hint="default"/>
                <w:lang w:bidi="ar"/>
              </w:rPr>
              <w:t>设施</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80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39</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按要求设置接待室（含客户休息室），客户休息设施配备齐全，一类企业接待室面积不小于</w:t>
            </w:r>
            <w:r>
              <w:rPr>
                <w:rStyle w:val="17"/>
                <w:lang w:bidi="ar"/>
              </w:rPr>
              <w:t>80m</w:t>
            </w:r>
            <w:r>
              <w:rPr>
                <w:rStyle w:val="21"/>
                <w:lang w:bidi="ar"/>
              </w:rPr>
              <w:t>2</w:t>
            </w:r>
            <w:r>
              <w:rPr>
                <w:rStyle w:val="16"/>
                <w:rFonts w:hint="default"/>
                <w:lang w:bidi="ar"/>
              </w:rPr>
              <w:t>，二类企业接待室面积不小于</w:t>
            </w:r>
            <w:r>
              <w:rPr>
                <w:rStyle w:val="17"/>
                <w:lang w:bidi="ar"/>
              </w:rPr>
              <w:t>20m</w:t>
            </w:r>
            <w:r>
              <w:rPr>
                <w:rStyle w:val="21"/>
                <w:lang w:bidi="ar"/>
              </w:rPr>
              <w:t>2</w:t>
            </w:r>
            <w:r>
              <w:rPr>
                <w:rStyle w:val="16"/>
                <w:rFonts w:hint="default"/>
                <w:lang w:bidi="ar"/>
              </w:rPr>
              <w:t>；休息室小于规定面积的扣</w:t>
            </w:r>
            <w:r>
              <w:rPr>
                <w:rStyle w:val="18"/>
                <w:lang w:bidi="ar"/>
              </w:rPr>
              <w:t>10</w:t>
            </w:r>
            <w:r>
              <w:rPr>
                <w:rStyle w:val="16"/>
                <w:rFonts w:hint="default"/>
                <w:lang w:bidi="ar"/>
              </w:rPr>
              <w:t>分，客户休息设施不齐全的扣</w:t>
            </w:r>
            <w:r>
              <w:rPr>
                <w:rStyle w:val="17"/>
                <w:lang w:bidi="ar"/>
              </w:rPr>
              <w:t>4</w:t>
            </w:r>
            <w:r>
              <w:rPr>
                <w:rStyle w:val="16"/>
                <w:rFonts w:hint="default"/>
                <w:lang w:bidi="ar"/>
              </w:rPr>
              <w:t>分</w:t>
            </w:r>
            <w:r>
              <w:rPr>
                <w:rStyle w:val="18"/>
                <w:lang w:bidi="ar"/>
              </w:rPr>
              <w:t>/</w:t>
            </w:r>
            <w:r>
              <w:rPr>
                <w:rStyle w:val="16"/>
                <w:rFonts w:hint="default"/>
                <w:lang w:bidi="ar"/>
              </w:rPr>
              <w:t>项，无独立客户卫生间的扣</w:t>
            </w:r>
            <w:r>
              <w:rPr>
                <w:rStyle w:val="18"/>
                <w:lang w:bidi="ar"/>
              </w:rPr>
              <w:t>10</w:t>
            </w:r>
            <w:r>
              <w:rPr>
                <w:rStyle w:val="16"/>
                <w:rFonts w:hint="default"/>
                <w:lang w:bidi="ar"/>
              </w:rPr>
              <w:t>分，客户卫生间蹲位不足</w:t>
            </w:r>
            <w:r>
              <w:rPr>
                <w:rStyle w:val="18"/>
                <w:lang w:bidi="ar"/>
              </w:rPr>
              <w:t>2</w:t>
            </w:r>
            <w:r>
              <w:rPr>
                <w:rStyle w:val="16"/>
                <w:rFonts w:hint="default"/>
                <w:lang w:bidi="ar"/>
              </w:rPr>
              <w:t>个的扣</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具备与承修车型、经营规模相适应的合法停车场地，一类企业停车场面积不小于</w:t>
            </w:r>
            <w:r>
              <w:rPr>
                <w:rStyle w:val="17"/>
                <w:lang w:bidi="ar"/>
              </w:rPr>
              <w:t>200 m</w:t>
            </w:r>
            <w:r>
              <w:rPr>
                <w:rStyle w:val="21"/>
                <w:lang w:bidi="ar"/>
              </w:rPr>
              <w:t>2</w:t>
            </w:r>
            <w:r>
              <w:rPr>
                <w:rStyle w:val="19"/>
                <w:rFonts w:hint="default"/>
                <w:lang w:bidi="ar"/>
              </w:rPr>
              <w:t>，二类企业停车场面积不小于</w:t>
            </w:r>
            <w:r>
              <w:rPr>
                <w:rStyle w:val="17"/>
                <w:lang w:bidi="ar"/>
              </w:rPr>
              <w:t>150 m</w:t>
            </w:r>
            <w:r>
              <w:rPr>
                <w:rStyle w:val="21"/>
                <w:lang w:bidi="ar"/>
              </w:rPr>
              <w:t>2</w:t>
            </w:r>
            <w:r>
              <w:rPr>
                <w:rStyle w:val="19"/>
                <w:rFonts w:hint="default"/>
                <w:lang w:bidi="ar"/>
              </w:rPr>
              <w:t>，区域界定标志明显，不占用公共用地；无明显界定标志的扣</w:t>
            </w:r>
            <w:r>
              <w:rPr>
                <w:rStyle w:val="18"/>
                <w:lang w:bidi="ar"/>
              </w:rPr>
              <w:t>5</w:t>
            </w:r>
            <w:r>
              <w:rPr>
                <w:rStyle w:val="19"/>
                <w:rFonts w:hint="default"/>
                <w:lang w:bidi="ar"/>
              </w:rPr>
              <w:t>分，小于规定面积的扣</w:t>
            </w:r>
            <w:r>
              <w:rPr>
                <w:rStyle w:val="17"/>
                <w:lang w:bidi="ar"/>
              </w:rPr>
              <w:t>5</w:t>
            </w:r>
            <w:r>
              <w:rPr>
                <w:rStyle w:val="19"/>
                <w:rFonts w:hint="default"/>
                <w:lang w:bidi="ar"/>
              </w:rPr>
              <w:t>分，占用道路或公共用地的扣</w:t>
            </w:r>
            <w:r>
              <w:rPr>
                <w:rStyle w:val="18"/>
                <w:lang w:bidi="ar"/>
              </w:rPr>
              <w:t>10</w:t>
            </w:r>
            <w:r>
              <w:rPr>
                <w:rStyle w:val="19"/>
                <w:rFonts w:hint="default"/>
                <w:lang w:bidi="ar"/>
              </w:rPr>
              <w:t>分，租赁停车场无1年以上合法书面合同书的扣5分。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41</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生产厂房面积与经营业务相适应，满足维修设备工位布置、生产工艺和正常作业，一类企业生产厂房面积不小于</w:t>
            </w:r>
            <w:r>
              <w:rPr>
                <w:rStyle w:val="17"/>
                <w:lang w:bidi="ar"/>
              </w:rPr>
              <w:t>800 m</w:t>
            </w:r>
            <w:r>
              <w:rPr>
                <w:rStyle w:val="21"/>
                <w:lang w:bidi="ar"/>
              </w:rPr>
              <w:t>2</w:t>
            </w:r>
            <w:r>
              <w:rPr>
                <w:rStyle w:val="16"/>
                <w:rFonts w:hint="default"/>
                <w:lang w:bidi="ar"/>
              </w:rPr>
              <w:t>，二类企业生产厂房面积不小于</w:t>
            </w:r>
            <w:r>
              <w:rPr>
                <w:rStyle w:val="17"/>
                <w:lang w:bidi="ar"/>
              </w:rPr>
              <w:t>200 m</w:t>
            </w:r>
            <w:r>
              <w:rPr>
                <w:rStyle w:val="21"/>
                <w:lang w:bidi="ar"/>
              </w:rPr>
              <w:t>2</w:t>
            </w:r>
            <w:r>
              <w:rPr>
                <w:rStyle w:val="16"/>
                <w:rFonts w:hint="default"/>
                <w:lang w:bidi="ar"/>
              </w:rPr>
              <w:t>；厂房小于规定面积的按</w:t>
            </w:r>
            <w:r>
              <w:rPr>
                <w:rStyle w:val="17"/>
                <w:lang w:bidi="ar"/>
              </w:rPr>
              <w:t>5</w:t>
            </w:r>
            <w:r>
              <w:rPr>
                <w:rStyle w:val="16"/>
                <w:rFonts w:hint="default"/>
                <w:lang w:bidi="ar"/>
              </w:rPr>
              <w:t>分</w:t>
            </w:r>
            <w:r>
              <w:rPr>
                <w:rStyle w:val="18"/>
                <w:lang w:bidi="ar"/>
              </w:rPr>
              <w:t>/50m</w:t>
            </w:r>
            <w:r>
              <w:rPr>
                <w:rStyle w:val="21"/>
                <w:lang w:bidi="ar"/>
              </w:rPr>
              <w:t>2</w:t>
            </w:r>
            <w:r>
              <w:rPr>
                <w:rStyle w:val="16"/>
                <w:rFonts w:hint="default"/>
                <w:lang w:bidi="ar"/>
              </w:rPr>
              <w:t>扣分，无总成维修间的扣5分，总成维修间不符合要求的扣3分，</w:t>
            </w:r>
            <w:r>
              <w:rPr>
                <w:color w:val="000000"/>
                <w:sz w:val="20"/>
              </w:rPr>
              <w:t>租赁厂房无1年以上合法书面合同书的扣10分。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42</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作业区域、工位未设置明显标识的扣</w:t>
            </w:r>
            <w:r>
              <w:rPr>
                <w:rStyle w:val="18"/>
                <w:lang w:bidi="ar"/>
              </w:rPr>
              <w:t>5</w:t>
            </w:r>
            <w:r>
              <w:rPr>
                <w:rStyle w:val="16"/>
                <w:rFonts w:hint="default"/>
                <w:lang w:bidi="ar"/>
              </w:rPr>
              <w:t>分/项；钣金、涂漆等特殊作业场所未单独设置的扣10分；作业区未按要求设置疏散标志及应急照明灯的扣</w:t>
            </w:r>
            <w:r>
              <w:rPr>
                <w:rStyle w:val="17"/>
                <w:lang w:bidi="ar"/>
              </w:rPr>
              <w:t>5</w:t>
            </w:r>
            <w:r>
              <w:rPr>
                <w:rStyle w:val="16"/>
                <w:rFonts w:hint="default"/>
                <w:lang w:bidi="ar"/>
              </w:rPr>
              <w:t>分</w:t>
            </w:r>
            <w:r>
              <w:rPr>
                <w:rStyle w:val="18"/>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43</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作业区域实行定置管理，维修设备及物料贴有清晰标识，工具、物料摆放有序，工具、配件、废料油污不落地；不符合要求的扣4分/项。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（六）</w:t>
            </w:r>
          </w:p>
          <w:p>
            <w:pPr>
              <w:widowControl/>
              <w:spacing w:line="260" w:lineRule="exact"/>
              <w:jc w:val="center"/>
              <w:textAlignment w:val="center"/>
              <w:rPr>
                <w:rStyle w:val="15"/>
                <w:rFonts w:hint="default"/>
                <w:lang w:bidi="ar"/>
              </w:rPr>
            </w:pPr>
            <w:r>
              <w:rPr>
                <w:rStyle w:val="15"/>
                <w:rFonts w:hint="default"/>
                <w:lang w:bidi="ar"/>
              </w:rPr>
              <w:t>环境</w:t>
            </w:r>
          </w:p>
          <w:p>
            <w:pPr>
              <w:widowControl/>
              <w:spacing w:line="260" w:lineRule="exact"/>
              <w:jc w:val="center"/>
              <w:textAlignment w:val="center"/>
              <w:rPr>
                <w:color w:val="000000"/>
                <w:sz w:val="20"/>
              </w:rPr>
            </w:pPr>
            <w:r>
              <w:rPr>
                <w:rStyle w:val="15"/>
                <w:rFonts w:hint="default"/>
                <w:lang w:bidi="ar"/>
              </w:rPr>
              <w:t>保护</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rFonts w:hint="eastAsia"/>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44</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未设置环境保护组织机构的扣</w:t>
            </w:r>
            <w:r>
              <w:rPr>
                <w:rStyle w:val="18"/>
                <w:rFonts w:hint="eastAsia"/>
                <w:lang w:bidi="ar"/>
              </w:rPr>
              <w:t>5</w:t>
            </w:r>
            <w:r>
              <w:rPr>
                <w:rStyle w:val="16"/>
                <w:rFonts w:hint="default"/>
                <w:lang w:bidi="ar"/>
              </w:rPr>
              <w:t>分；未明确环境保护管理责任人的扣</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rFonts w:hint="eastAsia"/>
                <w:color w:val="000000"/>
                <w:sz w:val="20"/>
              </w:rPr>
            </w:pPr>
            <w:r>
              <w:rPr>
                <w:rFonts w:hint="eastAsia"/>
                <w:color w:val="000000"/>
                <w:sz w:val="20"/>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45</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未定期开展环境保护相关培训教育扣</w:t>
            </w:r>
            <w:r>
              <w:rPr>
                <w:rStyle w:val="17"/>
                <w:rFonts w:hint="eastAsia"/>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作业环境及按生产工艺配置的处理</w:t>
            </w:r>
            <w:r>
              <w:rPr>
                <w:rStyle w:val="18"/>
                <w:lang w:bidi="ar"/>
              </w:rPr>
              <w:t>“</w:t>
            </w:r>
            <w:r>
              <w:rPr>
                <w:rStyle w:val="19"/>
                <w:rFonts w:hint="default"/>
                <w:lang w:bidi="ar"/>
              </w:rPr>
              <w:t>四废</w:t>
            </w:r>
            <w:r>
              <w:rPr>
                <w:rStyle w:val="18"/>
                <w:lang w:bidi="ar"/>
              </w:rPr>
              <w:t>”</w:t>
            </w:r>
            <w:r>
              <w:rPr>
                <w:rStyle w:val="19"/>
                <w:rFonts w:hint="default"/>
                <w:lang w:bidi="ar"/>
              </w:rPr>
              <w:t>及采光、通风、吸尘、净化、消声等设施配置不齐全或不符合规定的扣</w:t>
            </w:r>
            <w:r>
              <w:rPr>
                <w:rStyle w:val="18"/>
                <w:lang w:bidi="ar"/>
              </w:rPr>
              <w:t>5</w:t>
            </w:r>
            <w:r>
              <w:rPr>
                <w:rStyle w:val="19"/>
                <w:rFonts w:hint="default"/>
                <w:lang w:bidi="ar"/>
              </w:rPr>
              <w:t>分</w:t>
            </w:r>
            <w:r>
              <w:rPr>
                <w:rStyle w:val="18"/>
                <w:lang w:bidi="ar"/>
              </w:rPr>
              <w:t>/</w:t>
            </w:r>
            <w:r>
              <w:rPr>
                <w:rStyle w:val="19"/>
                <w:rFonts w:hint="default"/>
                <w:lang w:bidi="ar"/>
              </w:rPr>
              <w:t>项；调试车间或调试工位未设置汽车尾气收集净化装置扣</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47</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水污染排放和挥发性有机物</w:t>
            </w:r>
            <w:r>
              <w:rPr>
                <w:rStyle w:val="18"/>
                <w:lang w:bidi="ar"/>
              </w:rPr>
              <w:t>(</w:t>
            </w:r>
            <w:r>
              <w:rPr>
                <w:rStyle w:val="17"/>
                <w:lang w:bidi="ar"/>
              </w:rPr>
              <w:t>VOCs</w:t>
            </w:r>
            <w:r>
              <w:rPr>
                <w:rStyle w:val="18"/>
                <w:lang w:bidi="ar"/>
              </w:rPr>
              <w:t>)</w:t>
            </w:r>
            <w:r>
              <w:rPr>
                <w:rStyle w:val="16"/>
                <w:rFonts w:hint="default"/>
                <w:lang w:bidi="ar"/>
              </w:rPr>
              <w:t>排放超标或其他行为受到生态环境部门处罚的扣</w:t>
            </w:r>
            <w:r>
              <w:rPr>
                <w:rStyle w:val="17"/>
                <w:rFonts w:hint="eastAsia"/>
                <w:lang w:bidi="ar"/>
              </w:rPr>
              <w:t>10分/项</w:t>
            </w:r>
            <w:r>
              <w:rPr>
                <w:rStyle w:val="16"/>
                <w:rFonts w:hint="default"/>
                <w:lang w:bidi="ar"/>
              </w:rPr>
              <w:t>。</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0"/>
                <w:rFonts w:hint="default"/>
                <w:lang w:bidi="ar"/>
              </w:rPr>
              <w:t>未按要求设定废油、废液、废电解液、报废零部件等危险废物及有害垃圾存储独立区域的扣</w:t>
            </w:r>
            <w:r>
              <w:rPr>
                <w:rStyle w:val="17"/>
                <w:rFonts w:hint="eastAsia"/>
                <w:lang w:bidi="ar"/>
              </w:rPr>
              <w:t>1</w:t>
            </w:r>
            <w:r>
              <w:rPr>
                <w:rStyle w:val="17"/>
                <w:lang w:bidi="ar"/>
              </w:rPr>
              <w:t>0</w:t>
            </w:r>
            <w:r>
              <w:rPr>
                <w:rStyle w:val="20"/>
                <w:rFonts w:hint="default"/>
                <w:lang w:bidi="ar"/>
              </w:rPr>
              <w:t>分</w:t>
            </w:r>
            <w:r>
              <w:rPr>
                <w:rStyle w:val="17"/>
                <w:lang w:bidi="ar"/>
              </w:rPr>
              <w:t>/</w:t>
            </w:r>
            <w:r>
              <w:rPr>
                <w:rStyle w:val="20"/>
                <w:rFonts w:hint="default"/>
                <w:lang w:bidi="ar"/>
              </w:rPr>
              <w:t>项；存储区域未设置标识或隔离和控制设施的扣</w:t>
            </w:r>
            <w:r>
              <w:rPr>
                <w:rStyle w:val="17"/>
                <w:rFonts w:hint="eastAsia"/>
                <w:lang w:bidi="ar"/>
              </w:rPr>
              <w:t>5</w:t>
            </w:r>
            <w:r>
              <w:rPr>
                <w:rStyle w:val="20"/>
                <w:rFonts w:hint="default"/>
                <w:lang w:bidi="ar"/>
              </w:rPr>
              <w:t>分</w:t>
            </w:r>
            <w:r>
              <w:rPr>
                <w:rStyle w:val="17"/>
                <w:lang w:bidi="ar"/>
              </w:rPr>
              <w:t>/</w:t>
            </w:r>
            <w:r>
              <w:rPr>
                <w:rStyle w:val="20"/>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w:t>
            </w:r>
            <w:r>
              <w:rPr>
                <w:rFonts w:hint="eastAsia"/>
                <w:color w:val="000000"/>
                <w:kern w:val="0"/>
                <w:sz w:val="20"/>
                <w:lang w:bidi="ar"/>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49</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未委托具有相应合法资质的机构定期回收处置危险废物的扣</w:t>
            </w:r>
            <w:r>
              <w:rPr>
                <w:rStyle w:val="18"/>
                <w:lang w:bidi="ar"/>
              </w:rPr>
              <w:t>10</w:t>
            </w:r>
            <w:r>
              <w:rPr>
                <w:rStyle w:val="16"/>
                <w:rFonts w:hint="default"/>
                <w:lang w:bidi="ar"/>
              </w:rPr>
              <w:t>分；未建立危险废物管理台账，如实记录危险废物产生、转移情况的扣</w:t>
            </w:r>
            <w:r>
              <w:rPr>
                <w:rStyle w:val="17"/>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（七）</w:t>
            </w:r>
          </w:p>
          <w:p>
            <w:pPr>
              <w:widowControl/>
              <w:spacing w:line="260" w:lineRule="exact"/>
              <w:jc w:val="center"/>
              <w:textAlignment w:val="center"/>
              <w:rPr>
                <w:rStyle w:val="15"/>
                <w:rFonts w:hint="default"/>
                <w:lang w:bidi="ar"/>
              </w:rPr>
            </w:pPr>
            <w:r>
              <w:rPr>
                <w:rStyle w:val="15"/>
                <w:rFonts w:hint="default"/>
                <w:lang w:bidi="ar"/>
              </w:rPr>
              <w:t>企业</w:t>
            </w:r>
          </w:p>
          <w:p>
            <w:pPr>
              <w:widowControl/>
              <w:spacing w:line="260" w:lineRule="exact"/>
              <w:jc w:val="center"/>
              <w:textAlignment w:val="center"/>
              <w:rPr>
                <w:color w:val="000000"/>
                <w:sz w:val="20"/>
              </w:rPr>
            </w:pPr>
            <w:r>
              <w:rPr>
                <w:rStyle w:val="15"/>
                <w:rFonts w:hint="default"/>
                <w:lang w:bidi="ar"/>
              </w:rPr>
              <w:t>文化</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企业形象良好，标识美观醒目，得</w:t>
            </w:r>
            <w:r>
              <w:rPr>
                <w:rStyle w:val="17"/>
                <w:lang w:bidi="ar"/>
              </w:rPr>
              <w:t>5</w:t>
            </w:r>
            <w:r>
              <w:rPr>
                <w:rStyle w:val="19"/>
                <w:rFonts w:hint="default"/>
                <w:lang w:bidi="ar"/>
              </w:rPr>
              <w:t>分；员工着装统一，语言规范，示证上岗，得</w:t>
            </w:r>
            <w:r>
              <w:rPr>
                <w:rStyle w:val="17"/>
                <w:lang w:bidi="ar"/>
              </w:rPr>
              <w:t>5</w:t>
            </w:r>
            <w:r>
              <w:rPr>
                <w:rStyle w:val="19"/>
                <w:rFonts w:hint="default"/>
                <w:lang w:bidi="ar"/>
              </w:rPr>
              <w:t>分；业务接待员仪表端庄，主动热情，自报工号，使用标准普通话服务，得</w:t>
            </w:r>
            <w:r>
              <w:rPr>
                <w:rStyle w:val="17"/>
                <w:lang w:bidi="ar"/>
              </w:rPr>
              <w:t>5</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51</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成立党团组织，定期开展组织活动，得</w:t>
            </w:r>
            <w:r>
              <w:rPr>
                <w:rStyle w:val="17"/>
                <w:lang w:bidi="ar"/>
              </w:rPr>
              <w:t>15</w:t>
            </w:r>
            <w:r>
              <w:rPr>
                <w:rStyle w:val="19"/>
                <w:rFonts w:hint="default"/>
                <w:lang w:bidi="ar"/>
              </w:rPr>
              <w:t>分；成立工会组织，定期开展各类工会活动，得</w:t>
            </w:r>
            <w:r>
              <w:rPr>
                <w:rStyle w:val="17"/>
                <w:lang w:bidi="ar"/>
              </w:rPr>
              <w:t>10</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52</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设置员工培训室（可与</w:t>
            </w:r>
            <w:r>
              <w:rPr>
                <w:rStyle w:val="17"/>
                <w:lang w:bidi="ar"/>
              </w:rPr>
              <w:t>“</w:t>
            </w:r>
            <w:r>
              <w:rPr>
                <w:rStyle w:val="16"/>
                <w:rFonts w:hint="default"/>
                <w:lang w:bidi="ar"/>
              </w:rPr>
              <w:t>职工之家</w:t>
            </w:r>
            <w:r>
              <w:rPr>
                <w:rStyle w:val="17"/>
                <w:lang w:bidi="ar"/>
              </w:rPr>
              <w:t>”</w:t>
            </w:r>
            <w:r>
              <w:rPr>
                <w:rStyle w:val="16"/>
                <w:rFonts w:hint="default"/>
                <w:lang w:bidi="ar"/>
              </w:rPr>
              <w:t>共用），有必要的教学培训设备，得</w:t>
            </w:r>
            <w:r>
              <w:rPr>
                <w:rStyle w:val="17"/>
                <w:lang w:bidi="ar"/>
              </w:rPr>
              <w:t>10</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5" w:type="pct"/>
            <w:vMerge w:val="continue"/>
            <w:noWrap w:val="0"/>
            <w:tcMar>
              <w:top w:w="15" w:type="dxa"/>
              <w:left w:w="15" w:type="dxa"/>
              <w:right w:w="15" w:type="dxa"/>
            </w:tcMar>
            <w:vAlign w:val="center"/>
          </w:tcPr>
          <w:p>
            <w:pPr>
              <w:spacing w:line="260" w:lineRule="exact"/>
              <w:jc w:val="center"/>
              <w:rPr>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53</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6"/>
                <w:rFonts w:hint="default"/>
                <w:lang w:bidi="ar"/>
              </w:rPr>
              <w:t>为员工缴纳社会保险达到</w:t>
            </w:r>
            <w:r>
              <w:rPr>
                <w:rStyle w:val="17"/>
                <w:lang w:bidi="ar"/>
              </w:rPr>
              <w:t>100%</w:t>
            </w:r>
            <w:r>
              <w:rPr>
                <w:rStyle w:val="16"/>
                <w:rFonts w:hint="default"/>
                <w:lang w:bidi="ar"/>
              </w:rPr>
              <w:t>，得</w:t>
            </w:r>
            <w:r>
              <w:rPr>
                <w:rStyle w:val="17"/>
                <w:lang w:bidi="ar"/>
              </w:rPr>
              <w:t>10</w:t>
            </w:r>
            <w:r>
              <w:rPr>
                <w:rStyle w:val="16"/>
                <w:rFonts w:hint="default"/>
                <w:lang w:bidi="ar"/>
              </w:rPr>
              <w:t>分；小于</w:t>
            </w:r>
            <w:r>
              <w:rPr>
                <w:rStyle w:val="17"/>
                <w:lang w:bidi="ar"/>
              </w:rPr>
              <w:t>100%</w:t>
            </w:r>
            <w:r>
              <w:rPr>
                <w:rStyle w:val="16"/>
                <w:rFonts w:hint="default"/>
                <w:lang w:bidi="ar"/>
              </w:rPr>
              <w:t>，按</w:t>
            </w:r>
            <w:r>
              <w:rPr>
                <w:rStyle w:val="17"/>
                <w:lang w:bidi="ar"/>
              </w:rPr>
              <w:t>2</w:t>
            </w:r>
            <w:r>
              <w:rPr>
                <w:rStyle w:val="16"/>
                <w:rFonts w:hint="default"/>
                <w:lang w:bidi="ar"/>
              </w:rPr>
              <w:t>分</w:t>
            </w:r>
            <w:r>
              <w:rPr>
                <w:rStyle w:val="17"/>
                <w:lang w:bidi="ar"/>
              </w:rPr>
              <w:t>/10%</w:t>
            </w:r>
            <w:r>
              <w:rPr>
                <w:rStyle w:val="16"/>
                <w:rFonts w:hint="default"/>
                <w:lang w:bidi="ar"/>
              </w:rPr>
              <w:t>递减得分，</w:t>
            </w:r>
            <w:r>
              <w:rPr>
                <w:rStyle w:val="17"/>
                <w:lang w:bidi="ar"/>
              </w:rPr>
              <w:t>60%</w:t>
            </w:r>
            <w:r>
              <w:rPr>
                <w:rStyle w:val="16"/>
                <w:rFonts w:hint="default"/>
                <w:lang w:bidi="ar"/>
              </w:rPr>
              <w:t>以下不得分。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（八）</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创新</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奖励</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80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54</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与职业院校合作，建立校企合作基地，得</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55</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组织技术人员参加汽车维修职业技能大赛，得</w:t>
            </w:r>
            <w:r>
              <w:rPr>
                <w:rStyle w:val="17"/>
                <w:lang w:bidi="ar"/>
              </w:rPr>
              <w:t>5</w:t>
            </w:r>
            <w:r>
              <w:rPr>
                <w:rStyle w:val="16"/>
                <w:rFonts w:hint="default"/>
                <w:lang w:bidi="ar"/>
              </w:rPr>
              <w:t>分；组织从业人员参加管理部门、职业院校、汽车主机厂等机构业务技能培训学习，得</w:t>
            </w:r>
            <w:r>
              <w:rPr>
                <w:rStyle w:val="18"/>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56</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积极参与行业自建自律，在行业积极发挥联系主管部门、服务维修企业的桥梁纽带和引领作用，得</w:t>
            </w:r>
            <w:r>
              <w:rPr>
                <w:rStyle w:val="17"/>
                <w:lang w:bidi="ar"/>
              </w:rPr>
              <w:t>10</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57</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开展汽车尾气排放维修治理（建立</w:t>
            </w:r>
            <w:r>
              <w:rPr>
                <w:rStyle w:val="17"/>
                <w:lang w:bidi="ar"/>
              </w:rPr>
              <w:t>M</w:t>
            </w:r>
            <w:r>
              <w:rPr>
                <w:rStyle w:val="16"/>
                <w:rFonts w:hint="default"/>
                <w:lang w:bidi="ar"/>
              </w:rPr>
              <w:t>站）成效好，得</w:t>
            </w:r>
            <w:r>
              <w:rPr>
                <w:rStyle w:val="17"/>
                <w:lang w:bidi="ar"/>
              </w:rPr>
              <w:t>5</w:t>
            </w:r>
            <w:r>
              <w:rPr>
                <w:rStyle w:val="16"/>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19"/>
                <w:rFonts w:hint="default"/>
                <w:lang w:bidi="ar"/>
              </w:rPr>
              <w:t>组织或参与社会捐助、救助、帮扶，得</w:t>
            </w:r>
            <w:r>
              <w:rPr>
                <w:rStyle w:val="17"/>
                <w:lang w:bidi="ar"/>
              </w:rPr>
              <w:t>5</w:t>
            </w:r>
            <w:r>
              <w:rPr>
                <w:rStyle w:val="19"/>
                <w:rFonts w:hint="default"/>
                <w:lang w:bidi="ar"/>
              </w:rPr>
              <w:t>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59</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组织或参与消费者权益保护日、道路交通安全日、节能宣传周、质量服务月、汽车故障义诊等公益主题活动，得</w:t>
            </w:r>
            <w:r>
              <w:rPr>
                <w:rStyle w:val="17"/>
                <w:lang w:bidi="ar"/>
              </w:rPr>
              <w:t>3</w:t>
            </w:r>
            <w:r>
              <w:rPr>
                <w:rStyle w:val="16"/>
                <w:rFonts w:hint="default"/>
                <w:lang w:bidi="ar"/>
              </w:rPr>
              <w:t>分</w:t>
            </w:r>
            <w:r>
              <w:rPr>
                <w:rStyle w:val="18"/>
                <w:lang w:bidi="ar"/>
              </w:rPr>
              <w:t>/</w:t>
            </w:r>
            <w:r>
              <w:rPr>
                <w:rStyle w:val="16"/>
                <w:rFonts w:hint="default"/>
                <w:lang w:bidi="ar"/>
              </w:rPr>
              <w:t>项。</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vMerge w:val="continue"/>
            <w:noWrap w:val="0"/>
            <w:tcMar>
              <w:top w:w="15" w:type="dxa"/>
              <w:left w:w="15" w:type="dxa"/>
              <w:right w:w="15" w:type="dxa"/>
            </w:tcMar>
            <w:vAlign w:val="center"/>
          </w:tcPr>
          <w:p>
            <w:pPr>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60</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获得区县级、市级、国家级政府部门表彰奖励，分别按</w:t>
            </w:r>
            <w:r>
              <w:rPr>
                <w:rStyle w:val="17"/>
                <w:lang w:bidi="ar"/>
              </w:rPr>
              <w:t>5</w:t>
            </w:r>
            <w:r>
              <w:rPr>
                <w:rStyle w:val="16"/>
                <w:rFonts w:hint="default"/>
                <w:lang w:bidi="ar"/>
              </w:rPr>
              <w:t>分</w:t>
            </w:r>
            <w:r>
              <w:rPr>
                <w:rStyle w:val="17"/>
                <w:lang w:bidi="ar"/>
              </w:rPr>
              <w:t>/</w:t>
            </w:r>
            <w:r>
              <w:rPr>
                <w:rStyle w:val="17"/>
                <w:rFonts w:hint="eastAsia"/>
                <w:lang w:bidi="ar"/>
              </w:rPr>
              <w:t>15</w:t>
            </w:r>
            <w:r>
              <w:rPr>
                <w:rStyle w:val="16"/>
                <w:rFonts w:hint="default"/>
                <w:lang w:bidi="ar"/>
              </w:rPr>
              <w:t>分</w:t>
            </w:r>
            <w:r>
              <w:rPr>
                <w:rStyle w:val="17"/>
                <w:lang w:bidi="ar"/>
              </w:rPr>
              <w:t xml:space="preserve"> /</w:t>
            </w:r>
            <w:r>
              <w:rPr>
                <w:rStyle w:val="17"/>
                <w:rFonts w:hint="eastAsia"/>
                <w:lang w:bidi="ar"/>
              </w:rPr>
              <w:t>3</w:t>
            </w:r>
            <w:r>
              <w:rPr>
                <w:rStyle w:val="17"/>
                <w:lang w:bidi="ar"/>
              </w:rPr>
              <w:t>0</w:t>
            </w:r>
            <w:r>
              <w:rPr>
                <w:rStyle w:val="16"/>
                <w:rFonts w:hint="default"/>
                <w:lang w:bidi="ar"/>
              </w:rPr>
              <w:t>分得分；获得市级、全国行业协会维修诚信企业，分别按得</w:t>
            </w:r>
            <w:r>
              <w:rPr>
                <w:rStyle w:val="17"/>
                <w:lang w:bidi="ar"/>
              </w:rPr>
              <w:t>5</w:t>
            </w:r>
            <w:r>
              <w:rPr>
                <w:rStyle w:val="16"/>
                <w:rFonts w:hint="default"/>
                <w:lang w:bidi="ar"/>
              </w:rPr>
              <w:t>分</w:t>
            </w:r>
            <w:r>
              <w:rPr>
                <w:rStyle w:val="17"/>
                <w:lang w:bidi="ar"/>
              </w:rPr>
              <w:t>/1</w:t>
            </w:r>
            <w:r>
              <w:rPr>
                <w:rStyle w:val="17"/>
                <w:rFonts w:hint="eastAsia"/>
                <w:lang w:bidi="ar"/>
              </w:rPr>
              <w:t>5</w:t>
            </w:r>
            <w:r>
              <w:rPr>
                <w:rStyle w:val="16"/>
                <w:rFonts w:hint="default"/>
                <w:lang w:bidi="ar"/>
              </w:rPr>
              <w:t>分得分。</w:t>
            </w:r>
          </w:p>
        </w:tc>
        <w:tc>
          <w:tcPr>
            <w:tcW w:w="308" w:type="pct"/>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trPr>
        <w:tc>
          <w:tcPr>
            <w:tcW w:w="355" w:type="pct"/>
            <w:tcBorders>
              <w:bottom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0"/>
              </w:rPr>
            </w:pPr>
            <w:r>
              <w:rPr>
                <w:rStyle w:val="15"/>
                <w:rFonts w:hint="default"/>
                <w:lang w:bidi="ar"/>
              </w:rPr>
              <w:t>总分</w:t>
            </w:r>
          </w:p>
        </w:tc>
        <w:tc>
          <w:tcPr>
            <w:tcW w:w="762" w:type="pct"/>
            <w:gridSpan w:val="3"/>
            <w:tcBorders>
              <w:bottom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1000</w:t>
            </w:r>
          </w:p>
        </w:tc>
        <w:tc>
          <w:tcPr>
            <w:tcW w:w="3575" w:type="pct"/>
            <w:tcBorders>
              <w:bottom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0"/>
              </w:rPr>
            </w:pPr>
            <w:r>
              <w:rPr>
                <w:rStyle w:val="15"/>
                <w:rFonts w:hint="default"/>
                <w:lang w:bidi="ar"/>
              </w:rPr>
              <w:t>实际得分</w:t>
            </w:r>
          </w:p>
        </w:tc>
        <w:tc>
          <w:tcPr>
            <w:tcW w:w="308" w:type="pct"/>
            <w:tcBorders>
              <w:bottom w:val="single" w:color="auto" w:sz="4" w:space="0"/>
            </w:tcBorders>
            <w:noWrap w:val="0"/>
            <w:tcMar>
              <w:top w:w="15" w:type="dxa"/>
              <w:left w:w="15" w:type="dxa"/>
              <w:right w:w="15" w:type="dxa"/>
            </w:tcMar>
            <w:vAlign w:val="center"/>
          </w:tcPr>
          <w:p>
            <w:pPr>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exact"/>
        </w:trPr>
        <w:tc>
          <w:tcPr>
            <w:tcW w:w="1117" w:type="pct"/>
            <w:gridSpan w:val="4"/>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区县道路运输事务</w:t>
            </w:r>
          </w:p>
          <w:p>
            <w:pPr>
              <w:widowControl/>
              <w:spacing w:line="260" w:lineRule="exact"/>
              <w:jc w:val="center"/>
              <w:textAlignment w:val="center"/>
              <w:rPr>
                <w:color w:val="000000"/>
                <w:sz w:val="20"/>
              </w:rPr>
            </w:pPr>
            <w:r>
              <w:rPr>
                <w:rStyle w:val="15"/>
                <w:rFonts w:hint="default"/>
                <w:lang w:bidi="ar"/>
              </w:rPr>
              <w:t>机构评定意见</w:t>
            </w:r>
          </w:p>
        </w:tc>
        <w:tc>
          <w:tcPr>
            <w:tcW w:w="3883" w:type="pct"/>
            <w:gridSpan w:val="2"/>
            <w:noWrap w:val="0"/>
            <w:tcMar>
              <w:top w:w="15" w:type="dxa"/>
              <w:left w:w="15" w:type="dxa"/>
              <w:right w:w="15" w:type="dxa"/>
            </w:tcMar>
            <w:vAlign w:val="center"/>
          </w:tcPr>
          <w:p>
            <w:pPr>
              <w:widowControl/>
              <w:spacing w:line="260" w:lineRule="exact"/>
              <w:jc w:val="center"/>
              <w:textAlignment w:val="center"/>
              <w:rPr>
                <w:rFonts w:hint="eastAsia" w:ascii="宋体" w:hAnsi="宋体" w:cs="宋体"/>
                <w:color w:val="000000"/>
                <w:kern w:val="0"/>
                <w:szCs w:val="21"/>
                <w:lang w:bidi="ar"/>
              </w:rPr>
            </w:pPr>
          </w:p>
          <w:p>
            <w:pPr>
              <w:widowControl/>
              <w:spacing w:line="2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达标□                   不达标□</w:t>
            </w:r>
          </w:p>
          <w:p>
            <w:pPr>
              <w:pStyle w:val="4"/>
              <w:spacing w:line="260" w:lineRule="exact"/>
            </w:pPr>
          </w:p>
          <w:p>
            <w:pPr>
              <w:widowControl/>
              <w:spacing w:line="260" w:lineRule="exact"/>
              <w:jc w:val="center"/>
              <w:textAlignment w:val="center"/>
              <w:rPr>
                <w:rStyle w:val="22"/>
                <w:rFonts w:hint="default"/>
                <w:lang w:bidi="ar"/>
              </w:rPr>
            </w:pPr>
          </w:p>
          <w:p>
            <w:pPr>
              <w:pStyle w:val="4"/>
              <w:spacing w:line="260" w:lineRule="exact"/>
            </w:pPr>
          </w:p>
          <w:p>
            <w:pPr>
              <w:widowControl/>
              <w:spacing w:line="260" w:lineRule="exact"/>
              <w:jc w:val="center"/>
              <w:textAlignment w:val="center"/>
              <w:rPr>
                <w:rStyle w:val="22"/>
                <w:rFonts w:hint="default"/>
                <w:lang w:bidi="ar"/>
              </w:rPr>
            </w:pPr>
          </w:p>
          <w:p>
            <w:pPr>
              <w:widowControl/>
              <w:spacing w:line="260" w:lineRule="exact"/>
              <w:jc w:val="center"/>
              <w:textAlignment w:val="center"/>
              <w:rPr>
                <w:rStyle w:val="23"/>
                <w:rFonts w:hint="default"/>
                <w:lang w:bidi="ar"/>
              </w:rPr>
            </w:pPr>
            <w:r>
              <w:rPr>
                <w:rStyle w:val="22"/>
                <w:rFonts w:hint="default"/>
                <w:lang w:bidi="ar"/>
              </w:rPr>
              <w:t xml:space="preserve">  </w:t>
            </w:r>
            <w:r>
              <w:rPr>
                <w:rStyle w:val="23"/>
                <w:rFonts w:hint="default"/>
                <w:lang w:bidi="ar"/>
              </w:rPr>
              <w:t xml:space="preserve">经办人：                  </w:t>
            </w:r>
            <w:r>
              <w:rPr>
                <w:rStyle w:val="24"/>
                <w:rFonts w:hint="default"/>
                <w:lang w:bidi="ar"/>
              </w:rPr>
              <w:t>负责人：</w:t>
            </w:r>
            <w:r>
              <w:rPr>
                <w:rStyle w:val="23"/>
                <w:rFonts w:hint="default"/>
                <w:lang w:bidi="ar"/>
              </w:rPr>
              <w:t xml:space="preserve"> </w:t>
            </w:r>
          </w:p>
          <w:p>
            <w:pPr>
              <w:widowControl/>
              <w:spacing w:line="260" w:lineRule="exact"/>
              <w:jc w:val="center"/>
              <w:textAlignment w:val="center"/>
              <w:rPr>
                <w:rStyle w:val="23"/>
                <w:rFonts w:hint="default"/>
                <w:lang w:bidi="ar"/>
              </w:rPr>
            </w:pPr>
            <w:r>
              <w:rPr>
                <w:rStyle w:val="23"/>
                <w:rFonts w:hint="default"/>
                <w:lang w:bidi="ar"/>
              </w:rPr>
              <w:t xml:space="preserve">        </w:t>
            </w:r>
          </w:p>
          <w:p>
            <w:pPr>
              <w:widowControl/>
              <w:spacing w:line="260" w:lineRule="exact"/>
              <w:jc w:val="center"/>
              <w:textAlignment w:val="center"/>
              <w:rPr>
                <w:rFonts w:hint="eastAsia" w:ascii="宋体" w:hAnsi="宋体" w:cs="宋体"/>
                <w:color w:val="000000"/>
                <w:szCs w:val="21"/>
              </w:rPr>
            </w:pPr>
            <w:r>
              <w:rPr>
                <w:rStyle w:val="23"/>
                <w:rFonts w:hint="default"/>
                <w:lang w:bidi="ar"/>
              </w:rPr>
              <w:t xml:space="preserve">                                         </w:t>
            </w:r>
            <w:r>
              <w:rPr>
                <w:rStyle w:val="24"/>
                <w:rFonts w:hint="default"/>
                <w:lang w:bidi="ar"/>
              </w:rPr>
              <w:t>年</w:t>
            </w:r>
            <w:r>
              <w:rPr>
                <w:rStyle w:val="23"/>
                <w:rFonts w:hint="default"/>
                <w:lang w:bidi="ar"/>
              </w:rPr>
              <w:t xml:space="preserve">    </w:t>
            </w:r>
            <w:r>
              <w:rPr>
                <w:rStyle w:val="24"/>
                <w:rFonts w:hint="default"/>
                <w:lang w:bidi="ar"/>
              </w:rPr>
              <w:t>月</w:t>
            </w:r>
            <w:r>
              <w:rPr>
                <w:rStyle w:val="23"/>
                <w:rFonts w:hint="default"/>
                <w:lang w:bidi="ar"/>
              </w:rPr>
              <w:t xml:space="preserve">    </w:t>
            </w:r>
            <w:r>
              <w:rPr>
                <w:rStyle w:val="24"/>
                <w:rFonts w:hint="default"/>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5" w:hRule="exact"/>
        </w:trPr>
        <w:tc>
          <w:tcPr>
            <w:tcW w:w="1117" w:type="pct"/>
            <w:gridSpan w:val="4"/>
            <w:tcBorders>
              <w:bottom w:val="single" w:color="auto" w:sz="4" w:space="0"/>
            </w:tcBorders>
            <w:noWrap w:val="0"/>
            <w:tcMar>
              <w:top w:w="15" w:type="dxa"/>
              <w:left w:w="15" w:type="dxa"/>
              <w:right w:w="15" w:type="dxa"/>
            </w:tcMar>
            <w:vAlign w:val="center"/>
          </w:tcPr>
          <w:p>
            <w:pPr>
              <w:widowControl/>
              <w:spacing w:line="260" w:lineRule="exact"/>
              <w:jc w:val="center"/>
              <w:textAlignment w:val="center"/>
              <w:rPr>
                <w:rStyle w:val="15"/>
                <w:rFonts w:hint="default"/>
                <w:lang w:bidi="ar"/>
              </w:rPr>
            </w:pPr>
            <w:r>
              <w:rPr>
                <w:rStyle w:val="15"/>
                <w:rFonts w:hint="default"/>
                <w:lang w:bidi="ar"/>
              </w:rPr>
              <w:t>市道路运输事务</w:t>
            </w:r>
          </w:p>
          <w:p>
            <w:pPr>
              <w:widowControl/>
              <w:spacing w:line="260" w:lineRule="exact"/>
              <w:jc w:val="center"/>
              <w:textAlignment w:val="center"/>
              <w:rPr>
                <w:rStyle w:val="15"/>
                <w:rFonts w:hint="default"/>
                <w:lang w:bidi="ar"/>
              </w:rPr>
            </w:pPr>
            <w:r>
              <w:rPr>
                <w:rStyle w:val="15"/>
                <w:rFonts w:hint="default"/>
                <w:lang w:bidi="ar"/>
              </w:rPr>
              <w:t>中心核查意见</w:t>
            </w:r>
          </w:p>
        </w:tc>
        <w:tc>
          <w:tcPr>
            <w:tcW w:w="3883" w:type="pct"/>
            <w:gridSpan w:val="2"/>
            <w:tcBorders>
              <w:bottom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宋体" w:hAnsi="宋体" w:cs="宋体"/>
                <w:color w:val="000000"/>
                <w:kern w:val="0"/>
                <w:szCs w:val="21"/>
                <w:lang w:bidi="ar"/>
              </w:rPr>
            </w:pPr>
          </w:p>
          <w:p>
            <w:pPr>
              <w:widowControl/>
              <w:spacing w:line="2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五星级□    四星级□    三星级□    达标□    不达标□</w:t>
            </w:r>
          </w:p>
          <w:p>
            <w:pPr>
              <w:pStyle w:val="4"/>
              <w:spacing w:line="260" w:lineRule="exact"/>
            </w:pPr>
          </w:p>
          <w:p>
            <w:pPr>
              <w:widowControl/>
              <w:spacing w:line="260" w:lineRule="exact"/>
              <w:jc w:val="center"/>
              <w:textAlignment w:val="center"/>
              <w:rPr>
                <w:rStyle w:val="22"/>
                <w:rFonts w:hint="default"/>
                <w:lang w:bidi="ar"/>
              </w:rPr>
            </w:pPr>
          </w:p>
          <w:p>
            <w:pPr>
              <w:widowControl/>
              <w:spacing w:line="260" w:lineRule="exact"/>
              <w:jc w:val="center"/>
              <w:textAlignment w:val="center"/>
              <w:rPr>
                <w:rStyle w:val="22"/>
                <w:rFonts w:hint="default"/>
                <w:lang w:bidi="ar"/>
              </w:rPr>
            </w:pPr>
          </w:p>
          <w:p>
            <w:pPr>
              <w:widowControl/>
              <w:spacing w:line="260" w:lineRule="exact"/>
              <w:jc w:val="center"/>
              <w:textAlignment w:val="center"/>
              <w:rPr>
                <w:rStyle w:val="22"/>
                <w:rFonts w:hint="default"/>
                <w:lang w:bidi="ar"/>
              </w:rPr>
            </w:pPr>
          </w:p>
          <w:p>
            <w:pPr>
              <w:widowControl/>
              <w:spacing w:line="260" w:lineRule="exact"/>
              <w:jc w:val="center"/>
              <w:textAlignment w:val="center"/>
              <w:rPr>
                <w:rStyle w:val="23"/>
                <w:rFonts w:hint="default"/>
                <w:lang w:bidi="ar"/>
              </w:rPr>
            </w:pPr>
            <w:r>
              <w:rPr>
                <w:rStyle w:val="22"/>
                <w:rFonts w:hint="default"/>
                <w:lang w:bidi="ar"/>
              </w:rPr>
              <w:t xml:space="preserve"> </w:t>
            </w:r>
            <w:r>
              <w:rPr>
                <w:rStyle w:val="23"/>
                <w:rFonts w:hint="default"/>
                <w:lang w:bidi="ar"/>
              </w:rPr>
              <w:t>核查人：                  组长</w:t>
            </w:r>
            <w:r>
              <w:rPr>
                <w:rStyle w:val="24"/>
                <w:rFonts w:hint="default"/>
                <w:lang w:bidi="ar"/>
              </w:rPr>
              <w:t>：</w:t>
            </w:r>
            <w:r>
              <w:rPr>
                <w:rStyle w:val="23"/>
                <w:rFonts w:hint="default"/>
                <w:lang w:bidi="ar"/>
              </w:rPr>
              <w:t xml:space="preserve">           </w:t>
            </w:r>
          </w:p>
          <w:p>
            <w:pPr>
              <w:widowControl/>
              <w:spacing w:line="260" w:lineRule="exact"/>
              <w:jc w:val="center"/>
              <w:textAlignment w:val="center"/>
              <w:rPr>
                <w:rStyle w:val="23"/>
                <w:rFonts w:hint="default"/>
                <w:lang w:bidi="ar"/>
              </w:rPr>
            </w:pPr>
          </w:p>
          <w:p>
            <w:pPr>
              <w:widowControl/>
              <w:tabs>
                <w:tab w:val="left" w:pos="4620"/>
              </w:tabs>
              <w:spacing w:line="260" w:lineRule="exact"/>
              <w:jc w:val="center"/>
              <w:textAlignment w:val="center"/>
              <w:rPr>
                <w:rStyle w:val="22"/>
                <w:rFonts w:hint="default"/>
                <w:lang w:bidi="ar"/>
              </w:rPr>
            </w:pPr>
            <w:r>
              <w:rPr>
                <w:rStyle w:val="23"/>
                <w:rFonts w:hint="default"/>
                <w:lang w:bidi="ar"/>
              </w:rPr>
              <w:t xml:space="preserve">                                         </w:t>
            </w:r>
            <w:r>
              <w:rPr>
                <w:rStyle w:val="24"/>
                <w:rFonts w:hint="default"/>
                <w:lang w:bidi="ar"/>
              </w:rPr>
              <w:t>年</w:t>
            </w:r>
            <w:r>
              <w:rPr>
                <w:rStyle w:val="23"/>
                <w:rFonts w:hint="default"/>
                <w:lang w:bidi="ar"/>
              </w:rPr>
              <w:t xml:space="preserve">    </w:t>
            </w:r>
            <w:r>
              <w:rPr>
                <w:rStyle w:val="24"/>
                <w:rFonts w:hint="default"/>
                <w:lang w:bidi="ar"/>
              </w:rPr>
              <w:t>月</w:t>
            </w:r>
            <w:r>
              <w:rPr>
                <w:rStyle w:val="23"/>
                <w:rFonts w:hint="default"/>
                <w:lang w:bidi="ar"/>
              </w:rPr>
              <w:t xml:space="preserve">    </w:t>
            </w:r>
            <w:r>
              <w:rPr>
                <w:rStyle w:val="24"/>
                <w:rFonts w:hint="default"/>
                <w:lang w:bidi="ar"/>
              </w:rPr>
              <w:t>日</w:t>
            </w:r>
          </w:p>
        </w:tc>
      </w:tr>
    </w:tbl>
    <w:p>
      <w:pPr>
        <w:widowControl/>
        <w:spacing w:line="500" w:lineRule="exact"/>
        <w:jc w:val="left"/>
        <w:textAlignment w:val="center"/>
        <w:rPr>
          <w:rFonts w:eastAsia="方正黑体_GBK"/>
          <w:color w:val="000000"/>
          <w:kern w:val="0"/>
          <w:sz w:val="32"/>
          <w:szCs w:val="32"/>
          <w:lang w:bidi="ar"/>
        </w:rPr>
      </w:pPr>
    </w:p>
    <w:p>
      <w:pPr>
        <w:widowControl/>
        <w:spacing w:line="500" w:lineRule="exact"/>
        <w:jc w:val="left"/>
        <w:textAlignment w:val="center"/>
        <w:rPr>
          <w:rStyle w:val="25"/>
          <w:rFonts w:hint="eastAsia"/>
          <w:sz w:val="32"/>
          <w:szCs w:val="32"/>
          <w:lang w:bidi="ar"/>
        </w:rPr>
      </w:pPr>
      <w:r>
        <w:rPr>
          <w:rFonts w:eastAsia="方正黑体_GBK"/>
          <w:color w:val="000000"/>
          <w:kern w:val="0"/>
          <w:sz w:val="32"/>
          <w:szCs w:val="32"/>
          <w:lang w:bidi="ar"/>
        </w:rPr>
        <w:t>附件</w:t>
      </w:r>
      <w:r>
        <w:rPr>
          <w:rStyle w:val="25"/>
          <w:sz w:val="32"/>
          <w:szCs w:val="32"/>
          <w:lang w:bidi="ar"/>
        </w:rPr>
        <w:t>2</w:t>
      </w:r>
    </w:p>
    <w:p>
      <w:pPr>
        <w:widowControl/>
        <w:spacing w:line="500" w:lineRule="exact"/>
        <w:jc w:val="left"/>
        <w:textAlignment w:val="center"/>
        <w:rPr>
          <w:rStyle w:val="25"/>
          <w:rFonts w:hint="eastAsia"/>
          <w:sz w:val="32"/>
          <w:szCs w:val="32"/>
          <w:lang w:bidi="ar"/>
        </w:rPr>
      </w:pPr>
    </w:p>
    <w:p>
      <w:pPr>
        <w:spacing w:line="500" w:lineRule="exact"/>
        <w:jc w:val="center"/>
        <w:rPr>
          <w:rStyle w:val="13"/>
          <w:rFonts w:hint="eastAsia"/>
          <w:sz w:val="44"/>
          <w:szCs w:val="44"/>
          <w:lang w:bidi="ar"/>
        </w:rPr>
      </w:pPr>
      <w:r>
        <w:rPr>
          <w:rStyle w:val="13"/>
          <w:rFonts w:hint="eastAsia"/>
          <w:sz w:val="44"/>
          <w:szCs w:val="44"/>
          <w:lang w:bidi="ar"/>
        </w:rPr>
        <w:t>三类汽车维修企业服务质量评定标准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0"/>
        <w:gridCol w:w="387"/>
        <w:gridCol w:w="428"/>
        <w:gridCol w:w="390"/>
        <w:gridCol w:w="5800"/>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000" w:type="pct"/>
            <w:gridSpan w:val="6"/>
            <w:tcBorders>
              <w:top w:val="nil"/>
              <w:left w:val="nil"/>
              <w:bottom w:val="single" w:color="auto" w:sz="4" w:space="0"/>
              <w:right w:val="nil"/>
            </w:tcBorders>
            <w:noWrap w:val="0"/>
            <w:tcMar>
              <w:top w:w="15" w:type="dxa"/>
              <w:left w:w="15" w:type="dxa"/>
              <w:right w:w="15" w:type="dxa"/>
            </w:tcMar>
            <w:vAlign w:val="center"/>
          </w:tcPr>
          <w:p>
            <w:pPr>
              <w:widowControl/>
              <w:spacing w:line="260" w:lineRule="exact"/>
              <w:jc w:val="left"/>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 xml:space="preserve">维修企业名称：                                                 </w:t>
            </w:r>
          </w:p>
          <w:p>
            <w:pPr>
              <w:widowControl/>
              <w:spacing w:line="260" w:lineRule="exact"/>
              <w:jc w:val="left"/>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负责人：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355"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评定</w:t>
            </w:r>
          </w:p>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项目</w:t>
            </w:r>
          </w:p>
        </w:tc>
        <w:tc>
          <w:tcPr>
            <w:tcW w:w="245"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大项</w:t>
            </w:r>
          </w:p>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分值</w:t>
            </w:r>
          </w:p>
        </w:tc>
        <w:tc>
          <w:tcPr>
            <w:tcW w:w="270"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子项</w:t>
            </w:r>
          </w:p>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分值</w:t>
            </w:r>
          </w:p>
        </w:tc>
        <w:tc>
          <w:tcPr>
            <w:tcW w:w="247"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子项序号</w:t>
            </w:r>
          </w:p>
        </w:tc>
        <w:tc>
          <w:tcPr>
            <w:tcW w:w="3575"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评定内容</w:t>
            </w:r>
          </w:p>
        </w:tc>
        <w:tc>
          <w:tcPr>
            <w:tcW w:w="308" w:type="pct"/>
            <w:tcBorders>
              <w:top w:val="single" w:color="auto" w:sz="4" w:space="0"/>
            </w:tcBorders>
            <w:noWrap w:val="0"/>
            <w:tcMar>
              <w:top w:w="15" w:type="dxa"/>
              <w:left w:w="15" w:type="dxa"/>
              <w:right w:w="15" w:type="dxa"/>
            </w:tcMar>
            <w:vAlign w:val="center"/>
          </w:tcPr>
          <w:p>
            <w:pPr>
              <w:widowControl/>
              <w:spacing w:line="260" w:lineRule="exact"/>
              <w:jc w:val="center"/>
              <w:textAlignment w:val="center"/>
              <w:rPr>
                <w:rStyle w:val="26"/>
                <w:rFonts w:hint="default"/>
                <w:lang w:bidi="ar"/>
              </w:rPr>
            </w:pPr>
            <w:r>
              <w:rPr>
                <w:rStyle w:val="26"/>
                <w:rFonts w:hint="default"/>
                <w:lang w:bidi="ar"/>
              </w:rPr>
              <w:t>评定</w:t>
            </w:r>
          </w:p>
          <w:p>
            <w:pPr>
              <w:widowControl/>
              <w:spacing w:line="260" w:lineRule="exact"/>
              <w:jc w:val="center"/>
              <w:textAlignment w:val="center"/>
              <w:rPr>
                <w:color w:val="000000"/>
                <w:sz w:val="20"/>
              </w:rPr>
            </w:pPr>
            <w:r>
              <w:rPr>
                <w:rStyle w:val="26"/>
                <w:rFonts w:hint="default"/>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（一）人员</w:t>
            </w:r>
          </w:p>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条件</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w:t>
            </w:r>
          </w:p>
        </w:tc>
        <w:tc>
          <w:tcPr>
            <w:tcW w:w="3575" w:type="pct"/>
            <w:noWrap w:val="0"/>
            <w:tcMar>
              <w:top w:w="15" w:type="dxa"/>
              <w:left w:w="15" w:type="dxa"/>
              <w:right w:w="15" w:type="dxa"/>
            </w:tcMar>
            <w:vAlign w:val="center"/>
          </w:tcPr>
          <w:p>
            <w:pPr>
              <w:pStyle w:val="4"/>
              <w:spacing w:line="260" w:lineRule="exact"/>
              <w:rPr>
                <w:color w:val="000000"/>
                <w:sz w:val="20"/>
              </w:rPr>
            </w:pPr>
            <w:r>
              <w:rPr>
                <w:rFonts w:hint="eastAsia" w:ascii="宋体" w:hAnsi="宋体" w:cs="宋体"/>
                <w:color w:val="000000"/>
                <w:kern w:val="0"/>
                <w:sz w:val="20"/>
                <w:lang w:bidi="ar"/>
              </w:rPr>
              <w:t>按备案经营项目配备相应的维修技术人员，从事汽车综合小修、发动机维修、车身维修、电气系统维修、自动变速器维修的，还应配备技术负责人、质量检验员、价格结算员；岗位设置或技术人员数量不符合要求的扣</w:t>
            </w:r>
            <w:r>
              <w:rPr>
                <w:rFonts w:hint="eastAsia"/>
                <w:color w:val="000000"/>
                <w:kern w:val="0"/>
                <w:sz w:val="20"/>
                <w:lang w:bidi="ar"/>
              </w:rPr>
              <w:t>1</w:t>
            </w:r>
            <w:r>
              <w:rPr>
                <w:color w:val="000000"/>
                <w:kern w:val="0"/>
                <w:sz w:val="20"/>
                <w:lang w:bidi="ar"/>
              </w:rPr>
              <w:t>0</w:t>
            </w:r>
            <w:r>
              <w:rPr>
                <w:rStyle w:val="27"/>
                <w:rFonts w:hint="default"/>
                <w:lang w:bidi="ar"/>
              </w:rPr>
              <w:t>分</w:t>
            </w:r>
            <w:r>
              <w:rPr>
                <w:color w:val="000000"/>
                <w:kern w:val="0"/>
                <w:sz w:val="20"/>
                <w:lang w:bidi="ar"/>
              </w:rPr>
              <w:t>/</w:t>
            </w:r>
            <w:r>
              <w:rPr>
                <w:rStyle w:val="27"/>
                <w:rFonts w:hint="default"/>
                <w:lang w:bidi="ar"/>
              </w:rPr>
              <w:t>项</w:t>
            </w:r>
            <w:r>
              <w:rPr>
                <w:rFonts w:hint="eastAsia" w:ascii="宋体" w:hAnsi="宋体" w:cs="宋体"/>
                <w:color w:val="000000"/>
                <w:kern w:val="0"/>
                <w:sz w:val="20"/>
                <w:lang w:bidi="ar"/>
              </w:rPr>
              <w:t>。</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w:t>
            </w:r>
          </w:p>
        </w:tc>
        <w:tc>
          <w:tcPr>
            <w:tcW w:w="3575" w:type="pct"/>
            <w:noWrap w:val="0"/>
            <w:tcMar>
              <w:top w:w="15" w:type="dxa"/>
              <w:left w:w="15" w:type="dxa"/>
              <w:right w:w="15" w:type="dxa"/>
            </w:tcMar>
            <w:vAlign w:val="center"/>
          </w:tcPr>
          <w:p>
            <w:pPr>
              <w:pStyle w:val="4"/>
              <w:spacing w:line="260" w:lineRule="exact"/>
              <w:rPr>
                <w:rFonts w:hint="eastAsia" w:ascii="宋体" w:hAnsi="宋体" w:cs="宋体"/>
                <w:color w:val="000000"/>
                <w:kern w:val="0"/>
                <w:sz w:val="20"/>
                <w:lang w:bidi="ar"/>
              </w:rPr>
            </w:pPr>
            <w:r>
              <w:rPr>
                <w:rFonts w:hint="eastAsia" w:ascii="宋体" w:hAnsi="宋体" w:cs="宋体"/>
                <w:color w:val="000000"/>
                <w:kern w:val="0"/>
                <w:sz w:val="20"/>
                <w:lang w:bidi="ar"/>
              </w:rPr>
              <w:t>技术负责人具有机动车维修或相关专业大专以上学历，或具有机动车维修或相关专业中级以上专业技术职称，具有</w:t>
            </w:r>
            <w:r>
              <w:rPr>
                <w:rFonts w:ascii="宋体" w:hAnsi="宋体" w:cs="宋体"/>
                <w:color w:val="000000"/>
                <w:kern w:val="0"/>
                <w:sz w:val="20"/>
                <w:lang w:bidi="ar"/>
              </w:rPr>
              <w:t>5</w:t>
            </w:r>
            <w:r>
              <w:rPr>
                <w:rFonts w:hint="eastAsia" w:ascii="宋体" w:hAnsi="宋体" w:cs="宋体"/>
                <w:color w:val="000000"/>
                <w:kern w:val="0"/>
                <w:sz w:val="20"/>
                <w:lang w:bidi="ar"/>
              </w:rPr>
              <w:t>年以上机动车维修企业工作经历；未达到条件的扣</w:t>
            </w:r>
            <w:r>
              <w:rPr>
                <w:rFonts w:ascii="宋体" w:hAnsi="宋体" w:cs="宋体"/>
                <w:color w:val="000000"/>
                <w:kern w:val="0"/>
                <w:sz w:val="20"/>
                <w:lang w:bidi="ar"/>
              </w:rPr>
              <w:t>10</w:t>
            </w:r>
            <w:r>
              <w:rPr>
                <w:rFonts w:hint="eastAsia" w:ascii="宋体" w:hAnsi="宋体" w:cs="宋体"/>
                <w:color w:val="000000"/>
                <w:kern w:val="0"/>
                <w:sz w:val="20"/>
                <w:lang w:bidi="ar"/>
              </w:rPr>
              <w:t>分</w:t>
            </w:r>
            <w:r>
              <w:rPr>
                <w:rFonts w:ascii="宋体" w:hAnsi="宋体" w:cs="宋体"/>
                <w:color w:val="000000"/>
                <w:kern w:val="0"/>
                <w:sz w:val="20"/>
                <w:lang w:bidi="ar"/>
              </w:rPr>
              <w:t>/</w:t>
            </w:r>
            <w:r>
              <w:rPr>
                <w:rFonts w:hint="eastAsia" w:ascii="宋体" w:hAnsi="宋体" w:cs="宋体"/>
                <w:color w:val="000000"/>
                <w:kern w:val="0"/>
                <w:sz w:val="20"/>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w:t>
            </w:r>
          </w:p>
        </w:tc>
        <w:tc>
          <w:tcPr>
            <w:tcW w:w="3575" w:type="pct"/>
            <w:noWrap w:val="0"/>
            <w:tcMar>
              <w:top w:w="15" w:type="dxa"/>
              <w:left w:w="15" w:type="dxa"/>
              <w:right w:w="15" w:type="dxa"/>
            </w:tcMar>
            <w:vAlign w:val="center"/>
          </w:tcPr>
          <w:p>
            <w:pPr>
              <w:pStyle w:val="4"/>
              <w:spacing w:line="260" w:lineRule="exact"/>
              <w:rPr>
                <w:rFonts w:hint="eastAsia" w:ascii="宋体" w:hAnsi="宋体" w:cs="宋体"/>
                <w:color w:val="000000"/>
                <w:kern w:val="0"/>
                <w:sz w:val="20"/>
                <w:lang w:bidi="ar"/>
              </w:rPr>
            </w:pPr>
            <w:r>
              <w:rPr>
                <w:rFonts w:hint="eastAsia" w:ascii="宋体" w:hAnsi="宋体" w:cs="宋体"/>
                <w:color w:val="000000"/>
                <w:kern w:val="0"/>
                <w:sz w:val="20"/>
                <w:lang w:bidi="ar"/>
              </w:rPr>
              <w:t>质量检验员具有高中以上学历，连续在机修或电器岗位工作</w:t>
            </w:r>
            <w:r>
              <w:rPr>
                <w:rFonts w:ascii="宋体" w:hAnsi="宋体" w:cs="宋体"/>
                <w:color w:val="000000"/>
                <w:kern w:val="0"/>
                <w:sz w:val="20"/>
                <w:lang w:bidi="ar"/>
              </w:rPr>
              <w:t>2</w:t>
            </w:r>
            <w:r>
              <w:rPr>
                <w:rFonts w:hint="eastAsia" w:ascii="宋体" w:hAnsi="宋体" w:cs="宋体"/>
                <w:color w:val="000000"/>
                <w:kern w:val="0"/>
                <w:sz w:val="20"/>
                <w:lang w:bidi="ar"/>
              </w:rPr>
              <w:t>年以上，具有与承修车型相适应的机动车驾驶证且安全驾驶</w:t>
            </w:r>
            <w:r>
              <w:rPr>
                <w:rFonts w:ascii="宋体" w:hAnsi="宋体" w:cs="宋体"/>
                <w:color w:val="000000"/>
                <w:kern w:val="0"/>
                <w:sz w:val="20"/>
                <w:lang w:bidi="ar"/>
              </w:rPr>
              <w:t>1</w:t>
            </w:r>
            <w:r>
              <w:rPr>
                <w:rFonts w:hint="eastAsia" w:ascii="宋体" w:hAnsi="宋体" w:cs="宋体"/>
                <w:color w:val="000000"/>
                <w:kern w:val="0"/>
                <w:sz w:val="20"/>
                <w:lang w:bidi="ar"/>
              </w:rPr>
              <w:t>年以上；未达到条件的扣</w:t>
            </w:r>
            <w:r>
              <w:rPr>
                <w:rFonts w:ascii="宋体" w:hAnsi="宋体" w:cs="宋体"/>
                <w:color w:val="000000"/>
                <w:kern w:val="0"/>
                <w:sz w:val="20"/>
                <w:lang w:bidi="ar"/>
              </w:rPr>
              <w:t>10</w:t>
            </w:r>
            <w:r>
              <w:rPr>
                <w:rFonts w:hint="eastAsia" w:ascii="宋体" w:hAnsi="宋体" w:cs="宋体"/>
                <w:color w:val="000000"/>
                <w:kern w:val="0"/>
                <w:sz w:val="20"/>
                <w:lang w:bidi="ar"/>
              </w:rPr>
              <w:t>分</w:t>
            </w:r>
            <w:r>
              <w:rPr>
                <w:rFonts w:ascii="宋体" w:hAnsi="宋体" w:cs="宋体"/>
                <w:color w:val="000000"/>
                <w:kern w:val="0"/>
                <w:sz w:val="20"/>
                <w:lang w:bidi="ar"/>
              </w:rPr>
              <w:t>/</w:t>
            </w:r>
            <w:r>
              <w:rPr>
                <w:rFonts w:hint="eastAsia" w:ascii="宋体" w:hAnsi="宋体" w:cs="宋体"/>
                <w:color w:val="000000"/>
                <w:kern w:val="0"/>
                <w:sz w:val="20"/>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w:t>
            </w:r>
          </w:p>
        </w:tc>
        <w:tc>
          <w:tcPr>
            <w:tcW w:w="3575" w:type="pct"/>
            <w:noWrap w:val="0"/>
            <w:tcMar>
              <w:top w:w="15" w:type="dxa"/>
              <w:left w:w="15" w:type="dxa"/>
              <w:right w:w="15" w:type="dxa"/>
            </w:tcMar>
            <w:vAlign w:val="center"/>
          </w:tcPr>
          <w:p>
            <w:pPr>
              <w:pStyle w:val="4"/>
              <w:spacing w:line="260" w:lineRule="exact"/>
              <w:rPr>
                <w:rFonts w:hint="eastAsia" w:ascii="宋体" w:hAnsi="宋体" w:cs="宋体"/>
                <w:color w:val="000000"/>
                <w:kern w:val="0"/>
                <w:sz w:val="20"/>
                <w:lang w:bidi="ar"/>
              </w:rPr>
            </w:pPr>
            <w:r>
              <w:rPr>
                <w:rFonts w:hint="eastAsia" w:ascii="宋体" w:hAnsi="宋体" w:cs="宋体"/>
                <w:color w:val="000000"/>
                <w:kern w:val="0"/>
                <w:sz w:val="20"/>
                <w:lang w:bidi="ar"/>
              </w:rPr>
              <w:t>机修、电器、钣金、涂漆人员具有初中以上文化程度，连续从事本岗位工作</w:t>
            </w:r>
            <w:r>
              <w:rPr>
                <w:rFonts w:ascii="宋体" w:hAnsi="宋体" w:cs="宋体"/>
                <w:color w:val="000000"/>
                <w:kern w:val="0"/>
                <w:sz w:val="20"/>
                <w:lang w:bidi="ar"/>
              </w:rPr>
              <w:t>3</w:t>
            </w:r>
            <w:r>
              <w:rPr>
                <w:rFonts w:hint="eastAsia" w:ascii="宋体" w:hAnsi="宋体" w:cs="宋体"/>
                <w:color w:val="000000"/>
                <w:kern w:val="0"/>
                <w:sz w:val="20"/>
                <w:lang w:bidi="ar"/>
              </w:rPr>
              <w:t>年以上，或本专业中职（高职）毕业连续从事本岗位工作</w:t>
            </w:r>
            <w:r>
              <w:rPr>
                <w:rFonts w:ascii="宋体" w:hAnsi="宋体" w:cs="宋体"/>
                <w:color w:val="000000"/>
                <w:kern w:val="0"/>
                <w:sz w:val="20"/>
                <w:lang w:bidi="ar"/>
              </w:rPr>
              <w:t>2</w:t>
            </w:r>
            <w:r>
              <w:rPr>
                <w:rFonts w:hint="eastAsia" w:ascii="宋体" w:hAnsi="宋体" w:cs="宋体"/>
                <w:color w:val="000000"/>
                <w:kern w:val="0"/>
                <w:sz w:val="20"/>
                <w:lang w:bidi="ar"/>
              </w:rPr>
              <w:t>年（</w:t>
            </w:r>
            <w:r>
              <w:rPr>
                <w:rFonts w:ascii="宋体" w:hAnsi="宋体" w:cs="宋体"/>
                <w:color w:val="000000"/>
                <w:kern w:val="0"/>
                <w:sz w:val="20"/>
                <w:lang w:bidi="ar"/>
              </w:rPr>
              <w:t>1</w:t>
            </w:r>
            <w:r>
              <w:rPr>
                <w:rFonts w:hint="eastAsia" w:ascii="宋体" w:hAnsi="宋体" w:cs="宋体"/>
                <w:color w:val="000000"/>
                <w:kern w:val="0"/>
                <w:sz w:val="20"/>
                <w:lang w:bidi="ar"/>
              </w:rPr>
              <w:t>年）以上，钣金人员持有焊工初级以上职业资格证书；未达到条件的扣</w:t>
            </w:r>
            <w:r>
              <w:rPr>
                <w:rFonts w:ascii="宋体" w:hAnsi="宋体" w:cs="宋体"/>
                <w:color w:val="000000"/>
                <w:kern w:val="0"/>
                <w:sz w:val="20"/>
                <w:lang w:bidi="ar"/>
              </w:rPr>
              <w:t>5</w:t>
            </w:r>
            <w:r>
              <w:rPr>
                <w:rFonts w:hint="eastAsia" w:ascii="宋体" w:hAnsi="宋体" w:cs="宋体"/>
                <w:color w:val="000000"/>
                <w:kern w:val="0"/>
                <w:sz w:val="20"/>
                <w:lang w:bidi="ar"/>
              </w:rPr>
              <w:t>分</w:t>
            </w:r>
            <w:r>
              <w:rPr>
                <w:rFonts w:ascii="宋体" w:hAnsi="宋体" w:cs="宋体"/>
                <w:color w:val="000000"/>
                <w:kern w:val="0"/>
                <w:sz w:val="20"/>
                <w:lang w:bidi="ar"/>
              </w:rPr>
              <w:t>/</w:t>
            </w:r>
            <w:r>
              <w:rPr>
                <w:rFonts w:hint="eastAsia" w:ascii="宋体" w:hAnsi="宋体" w:cs="宋体"/>
                <w:color w:val="000000"/>
                <w:kern w:val="0"/>
                <w:sz w:val="20"/>
                <w:lang w:bidi="ar"/>
              </w:rPr>
              <w:t>项（类）。</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26"/>
                <w:rFonts w:hint="default"/>
                <w:lang w:bidi="ar"/>
              </w:rPr>
            </w:pPr>
            <w:r>
              <w:rPr>
                <w:rStyle w:val="26"/>
                <w:rFonts w:hint="default"/>
                <w:lang w:bidi="ar"/>
              </w:rPr>
              <w:t>（二）安全</w:t>
            </w:r>
          </w:p>
          <w:p>
            <w:pPr>
              <w:widowControl/>
              <w:spacing w:line="260" w:lineRule="exact"/>
              <w:jc w:val="center"/>
              <w:textAlignment w:val="center"/>
              <w:rPr>
                <w:color w:val="000000"/>
                <w:sz w:val="20"/>
              </w:rPr>
            </w:pPr>
            <w:r>
              <w:rPr>
                <w:rStyle w:val="26"/>
                <w:rFonts w:hint="default"/>
                <w:lang w:bidi="ar"/>
              </w:rPr>
              <w:t>生产</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w:t>
            </w:r>
          </w:p>
        </w:tc>
        <w:tc>
          <w:tcPr>
            <w:tcW w:w="3575" w:type="pct"/>
            <w:noWrap w:val="0"/>
            <w:tcMar>
              <w:top w:w="15" w:type="dxa"/>
              <w:left w:w="15" w:type="dxa"/>
              <w:right w:w="15" w:type="dxa"/>
            </w:tcMar>
            <w:vAlign w:val="center"/>
          </w:tcPr>
          <w:p>
            <w:pPr>
              <w:pStyle w:val="4"/>
              <w:spacing w:line="260" w:lineRule="exact"/>
              <w:rPr>
                <w:color w:val="000000"/>
                <w:sz w:val="20"/>
              </w:rPr>
            </w:pPr>
            <w:r>
              <w:rPr>
                <w:rFonts w:hint="eastAsia" w:ascii="宋体" w:hAnsi="宋体" w:cs="宋体"/>
                <w:color w:val="000000"/>
                <w:kern w:val="0"/>
                <w:sz w:val="20"/>
                <w:lang w:bidi="ar"/>
              </w:rPr>
              <w:t>未按要求配备安全生产管理人员的扣</w:t>
            </w:r>
            <w:r>
              <w:rPr>
                <w:color w:val="000000"/>
                <w:kern w:val="0"/>
                <w:sz w:val="20"/>
                <w:lang w:bidi="ar"/>
              </w:rPr>
              <w:t>10</w:t>
            </w:r>
            <w:r>
              <w:rPr>
                <w:rFonts w:hint="eastAsia" w:ascii="宋体" w:hAnsi="宋体" w:cs="宋体"/>
                <w:color w:val="000000"/>
                <w:kern w:val="0"/>
                <w:sz w:val="20"/>
                <w:lang w:bidi="ar"/>
              </w:rPr>
              <w:t>分；安全生产责任制度和安全管理制度不健全，各岗位人员安全责任制度不健全或未明示的扣</w:t>
            </w:r>
            <w:r>
              <w:rPr>
                <w:rStyle w:val="28"/>
                <w:lang w:bidi="ar"/>
              </w:rPr>
              <w:t>5</w:t>
            </w:r>
            <w:r>
              <w:rPr>
                <w:rFonts w:hint="eastAsia" w:ascii="宋体" w:hAnsi="宋体" w:cs="宋体"/>
                <w:color w:val="000000"/>
                <w:kern w:val="0"/>
                <w:sz w:val="20"/>
                <w:lang w:bidi="ar"/>
              </w:rPr>
              <w:t>分</w:t>
            </w:r>
            <w:r>
              <w:rPr>
                <w:rStyle w:val="28"/>
                <w:lang w:bidi="ar"/>
              </w:rPr>
              <w:t>/</w:t>
            </w:r>
            <w:r>
              <w:rPr>
                <w:rFonts w:hint="eastAsia" w:ascii="宋体" w:hAnsi="宋体" w:cs="宋体"/>
                <w:color w:val="000000"/>
                <w:kern w:val="0"/>
                <w:sz w:val="20"/>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各类机电设备安全操作规程不健全或未对应明示的扣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7</w:t>
            </w:r>
          </w:p>
        </w:tc>
        <w:tc>
          <w:tcPr>
            <w:tcW w:w="3575" w:type="pct"/>
            <w:noWrap w:val="0"/>
            <w:tcMar>
              <w:top w:w="15" w:type="dxa"/>
              <w:left w:w="15" w:type="dxa"/>
              <w:right w:w="15" w:type="dxa"/>
            </w:tcMar>
            <w:vAlign w:val="center"/>
          </w:tcPr>
          <w:p>
            <w:pPr>
              <w:pStyle w:val="4"/>
              <w:spacing w:line="260" w:lineRule="exact"/>
              <w:rPr>
                <w:color w:val="000000"/>
                <w:sz w:val="20"/>
              </w:rPr>
            </w:pPr>
            <w:r>
              <w:rPr>
                <w:rFonts w:hint="eastAsia" w:ascii="宋体" w:hAnsi="宋体" w:cs="宋体"/>
                <w:color w:val="000000"/>
                <w:kern w:val="0"/>
                <w:sz w:val="20"/>
                <w:lang w:bidi="ar"/>
              </w:rPr>
              <w:t>生产厂房、停车场地符合安全生产、消防等各项要求，维修作业区按要求设置消防安全标志、疏散标志及应急照明灯，重要区域设立警示标志；不符合要求的扣</w:t>
            </w:r>
            <w:r>
              <w:rPr>
                <w:color w:val="000000"/>
                <w:kern w:val="0"/>
                <w:sz w:val="20"/>
                <w:lang w:bidi="ar"/>
              </w:rPr>
              <w:t>10</w:t>
            </w:r>
            <w:r>
              <w:rPr>
                <w:rFonts w:hint="eastAsia" w:ascii="宋体" w:hAnsi="宋体" w:cs="宋体"/>
                <w:color w:val="000000"/>
                <w:kern w:val="0"/>
                <w:sz w:val="20"/>
                <w:lang w:bidi="ar"/>
              </w:rPr>
              <w:t>分</w:t>
            </w:r>
            <w:r>
              <w:rPr>
                <w:color w:val="000000"/>
                <w:kern w:val="0"/>
                <w:sz w:val="20"/>
                <w:lang w:bidi="ar"/>
              </w:rPr>
              <w:t>/</w:t>
            </w:r>
            <w:r>
              <w:rPr>
                <w:rFonts w:hint="eastAsia" w:ascii="宋体" w:hAnsi="宋体" w:cs="宋体"/>
                <w:color w:val="000000"/>
                <w:kern w:val="0"/>
                <w:sz w:val="20"/>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使用与存储有毒、易燃、易爆物品和粉尘、腐蚀剂、污染物、压力容器等具备相应的安全防护措施和设施，不符合要求的扣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9</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未按规定为技术人员（钣金、涂漆）配备护听器、眼护具、防尘口罩、防毒护具、防护手套、防护服等劳动防护用品的扣</w:t>
            </w:r>
            <w:r>
              <w:rPr>
                <w:color w:val="000000"/>
                <w:kern w:val="0"/>
                <w:sz w:val="20"/>
                <w:lang w:bidi="ar"/>
              </w:rPr>
              <w:t>5</w:t>
            </w:r>
            <w:r>
              <w:rPr>
                <w:rStyle w:val="27"/>
                <w:rFonts w:hint="default"/>
                <w:lang w:bidi="ar"/>
              </w:rPr>
              <w:t>分</w:t>
            </w:r>
            <w:r>
              <w:rPr>
                <w:color w:val="000000"/>
                <w:kern w:val="0"/>
                <w:sz w:val="20"/>
                <w:lang w:bidi="ar"/>
              </w:rPr>
              <w:t>/</w:t>
            </w:r>
            <w:r>
              <w:rPr>
                <w:rStyle w:val="27"/>
                <w:rFonts w:hint="default"/>
                <w:lang w:bidi="ar"/>
              </w:rPr>
              <w:t>项；技术人员未按规定使用劳动防护用品的扣</w:t>
            </w:r>
            <w:r>
              <w:rPr>
                <w:color w:val="000000"/>
                <w:kern w:val="0"/>
                <w:sz w:val="20"/>
                <w:lang w:bidi="ar"/>
              </w:rPr>
              <w:t>5</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未定期开展安全生产监督检查和隐患排查的扣</w:t>
            </w:r>
            <w:r>
              <w:rPr>
                <w:color w:val="000000"/>
                <w:kern w:val="0"/>
                <w:sz w:val="20"/>
                <w:lang w:bidi="ar"/>
              </w:rPr>
              <w:t>20</w:t>
            </w:r>
            <w:r>
              <w:rPr>
                <w:rStyle w:val="27"/>
                <w:rFonts w:hint="default"/>
                <w:lang w:bidi="ar"/>
              </w:rPr>
              <w:t>分；整改措施不到位的扣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11</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未定期开展安全生产教育学习的扣</w:t>
            </w:r>
            <w:r>
              <w:rPr>
                <w:color w:val="000000"/>
                <w:kern w:val="0"/>
                <w:sz w:val="20"/>
                <w:lang w:bidi="ar"/>
              </w:rPr>
              <w:t>10</w:t>
            </w:r>
            <w:r>
              <w:rPr>
                <w:rStyle w:val="27"/>
                <w:rFonts w:hint="default"/>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12</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发生安全生产责任事故或维修质量责任事故的扣</w:t>
            </w:r>
            <w:r>
              <w:rPr>
                <w:color w:val="000000"/>
                <w:kern w:val="0"/>
                <w:sz w:val="20"/>
                <w:lang w:bidi="ar"/>
              </w:rPr>
              <w:t>20</w:t>
            </w:r>
            <w:r>
              <w:rPr>
                <w:rStyle w:val="27"/>
                <w:rFonts w:hint="default"/>
                <w:lang w:bidi="ar"/>
              </w:rPr>
              <w:t>分</w:t>
            </w:r>
            <w:r>
              <w:rPr>
                <w:color w:val="000000"/>
                <w:kern w:val="0"/>
                <w:sz w:val="20"/>
                <w:lang w:bidi="ar"/>
              </w:rPr>
              <w:t>/</w:t>
            </w:r>
            <w:r>
              <w:rPr>
                <w:rStyle w:val="27"/>
                <w:rFonts w:hint="default"/>
                <w:lang w:bidi="ar"/>
              </w:rPr>
              <w:t>起，造成人员受伤的扣</w:t>
            </w:r>
            <w:r>
              <w:rPr>
                <w:color w:val="000000"/>
                <w:kern w:val="0"/>
                <w:sz w:val="20"/>
                <w:lang w:bidi="ar"/>
              </w:rPr>
              <w:t>30</w:t>
            </w:r>
            <w:r>
              <w:rPr>
                <w:rStyle w:val="27"/>
                <w:rFonts w:hint="default"/>
                <w:lang w:bidi="ar"/>
              </w:rPr>
              <w:t>分，造成人员死亡的“安全生产”大项不得分。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26"/>
                <w:rFonts w:hint="default"/>
                <w:lang w:bidi="ar"/>
              </w:rPr>
            </w:pPr>
            <w:r>
              <w:rPr>
                <w:rStyle w:val="26"/>
                <w:rFonts w:hint="default"/>
                <w:lang w:bidi="ar"/>
              </w:rPr>
              <w:t>（三）经营</w:t>
            </w:r>
          </w:p>
          <w:p>
            <w:pPr>
              <w:widowControl/>
              <w:spacing w:line="260" w:lineRule="exact"/>
              <w:jc w:val="center"/>
              <w:textAlignment w:val="center"/>
              <w:rPr>
                <w:color w:val="000000"/>
                <w:sz w:val="20"/>
              </w:rPr>
            </w:pPr>
            <w:r>
              <w:rPr>
                <w:rStyle w:val="26"/>
                <w:rFonts w:hint="default"/>
                <w:lang w:bidi="ar"/>
              </w:rPr>
              <w:t>管理</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13</w:t>
            </w:r>
          </w:p>
        </w:tc>
        <w:tc>
          <w:tcPr>
            <w:tcW w:w="3575" w:type="pct"/>
            <w:noWrap w:val="0"/>
            <w:tcMar>
              <w:top w:w="15" w:type="dxa"/>
              <w:left w:w="15" w:type="dxa"/>
              <w:right w:w="15" w:type="dxa"/>
            </w:tcMar>
            <w:vAlign w:val="center"/>
          </w:tcPr>
          <w:p>
            <w:pPr>
              <w:pStyle w:val="4"/>
              <w:spacing w:line="260" w:lineRule="exact"/>
              <w:rPr>
                <w:rFonts w:hint="eastAsia" w:ascii="宋体" w:hAnsi="宋体" w:cs="宋体"/>
                <w:color w:val="000000"/>
                <w:sz w:val="20"/>
              </w:rPr>
            </w:pPr>
            <w:r>
              <w:rPr>
                <w:rFonts w:hint="eastAsia" w:ascii="宋体" w:hAnsi="宋体" w:cs="宋体"/>
                <w:color w:val="000000"/>
                <w:kern w:val="0"/>
                <w:sz w:val="20"/>
                <w:lang w:bidi="ar"/>
              </w:rPr>
              <w:t>未在业务接待区域醒目位置悬挂</w:t>
            </w:r>
            <w:r>
              <w:rPr>
                <w:color w:val="000000"/>
                <w:kern w:val="0"/>
                <w:sz w:val="20"/>
                <w:lang w:bidi="ar"/>
              </w:rPr>
              <w:t>“</w:t>
            </w:r>
            <w:r>
              <w:rPr>
                <w:rStyle w:val="27"/>
                <w:rFonts w:hint="default"/>
                <w:lang w:bidi="ar"/>
              </w:rPr>
              <w:t>机动车维修标志牌</w:t>
            </w:r>
            <w:r>
              <w:rPr>
                <w:color w:val="000000"/>
                <w:kern w:val="0"/>
                <w:sz w:val="20"/>
                <w:lang w:bidi="ar"/>
              </w:rPr>
              <w:t>”</w:t>
            </w:r>
            <w:r>
              <w:rPr>
                <w:rStyle w:val="27"/>
                <w:rFonts w:hint="default"/>
                <w:lang w:bidi="ar"/>
              </w:rPr>
              <w:t>的扣</w:t>
            </w:r>
            <w:r>
              <w:rPr>
                <w:color w:val="000000"/>
                <w:kern w:val="0"/>
                <w:sz w:val="20"/>
                <w:lang w:bidi="ar"/>
              </w:rPr>
              <w:t>20</w:t>
            </w:r>
            <w:r>
              <w:rPr>
                <w:rStyle w:val="27"/>
                <w:rFonts w:hint="default"/>
                <w:lang w:bidi="ar"/>
              </w:rPr>
              <w:t>分；未按要求在业务接待区域醒目位置公示工商营业执照、辖区行业管理部门、消费者协会及企业投诉监督电话等信息的扣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14</w:t>
            </w:r>
          </w:p>
        </w:tc>
        <w:tc>
          <w:tcPr>
            <w:tcW w:w="3575" w:type="pct"/>
            <w:noWrap w:val="0"/>
            <w:tcMar>
              <w:top w:w="15" w:type="dxa"/>
              <w:left w:w="15" w:type="dxa"/>
              <w:right w:w="15" w:type="dxa"/>
            </w:tcMar>
            <w:vAlign w:val="center"/>
          </w:tcPr>
          <w:p>
            <w:pPr>
              <w:pStyle w:val="4"/>
              <w:spacing w:line="260" w:lineRule="exact"/>
              <w:rPr>
                <w:rFonts w:hint="eastAsia" w:ascii="宋体" w:hAnsi="宋体" w:cs="宋体"/>
                <w:color w:val="000000"/>
                <w:sz w:val="20"/>
              </w:rPr>
            </w:pPr>
            <w:r>
              <w:rPr>
                <w:rFonts w:hint="eastAsia" w:ascii="宋体" w:hAnsi="宋体" w:cs="宋体"/>
                <w:color w:val="000000"/>
                <w:kern w:val="0"/>
                <w:sz w:val="20"/>
                <w:lang w:bidi="ar"/>
              </w:rPr>
              <w:t>未按要求在业务接待区域醒目位置公示企业负责人、技术负责人、质量检验员、维修技术人员照片、工号等信息的扣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未按要求在业务接待区域醒目位置公示备案的维修工时定额及工时单价、常用配件价格等信息的扣10分/项。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16</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建立业务受理程序、服务质量承诺、投诉受理程序等制度，提供汽车紧急维修救援服务的公布服务时间、电话、收费标准；制度不健全或未明示的扣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17</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按配件制造厂规定执行原厂配件质量保证期，修复配件按承托双方约定执行质量保证期，未按要求执行配件质保期制度的扣</w:t>
            </w:r>
            <w:r>
              <w:rPr>
                <w:rStyle w:val="28"/>
                <w:lang w:bidi="ar"/>
              </w:rPr>
              <w:t>20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未向托修方提供配件查询服务的扣</w:t>
            </w:r>
            <w:r>
              <w:rPr>
                <w:rStyle w:val="28"/>
                <w:lang w:bidi="ar"/>
              </w:rPr>
              <w:t>20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19</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未建立托修方自带配件登记台账的扣</w:t>
            </w:r>
            <w:r>
              <w:rPr>
                <w:color w:val="000000"/>
                <w:kern w:val="0"/>
                <w:sz w:val="20"/>
                <w:lang w:bidi="ar"/>
              </w:rPr>
              <w:t>10</w:t>
            </w:r>
            <w:r>
              <w:rPr>
                <w:rStyle w:val="27"/>
                <w:rFonts w:hint="default"/>
                <w:lang w:bidi="ar"/>
              </w:rPr>
              <w:t>分；自带配件合格证查验和配件使用记录、托修方签字记录不完善的扣</w:t>
            </w:r>
            <w:r>
              <w:rPr>
                <w:color w:val="000000"/>
                <w:kern w:val="0"/>
                <w:sz w:val="20"/>
                <w:lang w:bidi="ar"/>
              </w:rPr>
              <w:t>5</w:t>
            </w:r>
            <w:r>
              <w:rPr>
                <w:rStyle w:val="27"/>
                <w:rFonts w:hint="default"/>
                <w:lang w:bidi="ar"/>
              </w:rPr>
              <w:t>分</w:t>
            </w:r>
            <w:r>
              <w:rPr>
                <w:color w:val="000000"/>
                <w:kern w:val="0"/>
                <w:sz w:val="20"/>
                <w:lang w:bidi="ar"/>
              </w:rPr>
              <w:t>/</w:t>
            </w:r>
            <w:r>
              <w:rPr>
                <w:rStyle w:val="27"/>
                <w:rFonts w:hint="default"/>
                <w:lang w:bidi="ar"/>
              </w:rPr>
              <w:t>项；换下的配件未交由托修方自行处理的扣</w:t>
            </w:r>
            <w:r>
              <w:rPr>
                <w:color w:val="000000"/>
                <w:kern w:val="0"/>
                <w:sz w:val="20"/>
                <w:lang w:bidi="ar"/>
              </w:rPr>
              <w:t>10</w:t>
            </w:r>
            <w:r>
              <w:rPr>
                <w:rStyle w:val="27"/>
                <w:rFonts w:hint="default"/>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Style w:val="26"/>
                <w:rFonts w:hint="default"/>
                <w:lang w:bidi="ar"/>
              </w:rPr>
            </w:pPr>
            <w:r>
              <w:rPr>
                <w:rStyle w:val="26"/>
                <w:rFonts w:hint="default"/>
                <w:lang w:bidi="ar"/>
              </w:rPr>
              <w:t>（四）</w:t>
            </w:r>
          </w:p>
          <w:p>
            <w:pPr>
              <w:widowControl/>
              <w:spacing w:line="260" w:lineRule="exact"/>
              <w:jc w:val="center"/>
              <w:textAlignment w:val="center"/>
              <w:rPr>
                <w:rStyle w:val="26"/>
                <w:rFonts w:hint="default"/>
                <w:lang w:bidi="ar"/>
              </w:rPr>
            </w:pPr>
            <w:r>
              <w:rPr>
                <w:rStyle w:val="26"/>
                <w:rFonts w:hint="default"/>
                <w:lang w:bidi="ar"/>
              </w:rPr>
              <w:t>服务</w:t>
            </w:r>
          </w:p>
          <w:p>
            <w:pPr>
              <w:widowControl/>
              <w:spacing w:line="260" w:lineRule="exact"/>
              <w:jc w:val="center"/>
              <w:textAlignment w:val="center"/>
              <w:rPr>
                <w:color w:val="000000"/>
                <w:sz w:val="20"/>
              </w:rPr>
            </w:pPr>
            <w:r>
              <w:rPr>
                <w:rStyle w:val="26"/>
                <w:rFonts w:hint="default"/>
                <w:lang w:bidi="ar"/>
              </w:rPr>
              <w:t>质量</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汽车维修相关法规标准技术资料等齐备，内容应包括《重庆市道路运输管理条例》《机动车维修管理规定》《汽车维修业开业条件》（</w:t>
            </w:r>
            <w:r>
              <w:rPr>
                <w:color w:val="000000"/>
                <w:kern w:val="0"/>
                <w:sz w:val="20"/>
                <w:lang w:bidi="ar"/>
              </w:rPr>
              <w:t>GB/T 16739</w:t>
            </w:r>
            <w:r>
              <w:rPr>
                <w:rStyle w:val="27"/>
                <w:rFonts w:hint="default"/>
                <w:lang w:bidi="ar"/>
              </w:rPr>
              <w:t>）、《机动车维修服务规范》（</w:t>
            </w:r>
            <w:r>
              <w:rPr>
                <w:color w:val="000000"/>
                <w:kern w:val="0"/>
                <w:sz w:val="20"/>
                <w:lang w:bidi="ar"/>
              </w:rPr>
              <w:t>JT/T 816</w:t>
            </w:r>
            <w:r>
              <w:rPr>
                <w:rStyle w:val="27"/>
                <w:rFonts w:hint="default"/>
                <w:lang w:bidi="ar"/>
              </w:rPr>
              <w:t>）、《安全生产法》及相关维修技术资料和工艺文件等，确保完整有效、及时更新；标准资料缺失或未更新的扣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21</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未建立维修质量保证期制度或未在醒目位置公示的扣</w:t>
            </w:r>
            <w:r>
              <w:rPr>
                <w:rStyle w:val="28"/>
                <w:lang w:bidi="ar"/>
              </w:rPr>
              <w:t>30</w:t>
            </w:r>
            <w:r>
              <w:rPr>
                <w:rFonts w:hint="eastAsia" w:ascii="宋体" w:hAnsi="宋体" w:cs="宋体"/>
                <w:color w:val="000000"/>
                <w:kern w:val="0"/>
                <w:sz w:val="20"/>
                <w:lang w:bidi="ar"/>
              </w:rPr>
              <w:t>分，质量保证期低于国家标准的扣</w:t>
            </w:r>
            <w:r>
              <w:rPr>
                <w:color w:val="000000"/>
                <w:kern w:val="0"/>
                <w:sz w:val="20"/>
                <w:lang w:bidi="ar"/>
              </w:rPr>
              <w:t>30</w:t>
            </w:r>
            <w:r>
              <w:rPr>
                <w:rFonts w:hint="eastAsia" w:ascii="宋体" w:hAnsi="宋体" w:cs="宋体"/>
                <w:color w:val="000000"/>
                <w:kern w:val="0"/>
                <w:sz w:val="20"/>
                <w:lang w:bidi="ar"/>
              </w:rPr>
              <w:t>分，保证期项目缺失的扣</w:t>
            </w:r>
            <w:r>
              <w:rPr>
                <w:color w:val="000000"/>
                <w:kern w:val="0"/>
                <w:sz w:val="20"/>
                <w:lang w:bidi="ar"/>
              </w:rPr>
              <w:t>10</w:t>
            </w:r>
            <w:r>
              <w:rPr>
                <w:rFonts w:hint="eastAsia" w:ascii="宋体" w:hAnsi="宋体" w:cs="宋体"/>
                <w:color w:val="000000"/>
                <w:kern w:val="0"/>
                <w:sz w:val="20"/>
                <w:lang w:bidi="ar"/>
              </w:rPr>
              <w:t>分</w:t>
            </w:r>
            <w:r>
              <w:rPr>
                <w:color w:val="000000"/>
                <w:kern w:val="0"/>
                <w:sz w:val="20"/>
                <w:lang w:bidi="ar"/>
              </w:rPr>
              <w:t>/</w:t>
            </w:r>
            <w:r>
              <w:rPr>
                <w:rFonts w:hint="eastAsia" w:ascii="宋体" w:hAnsi="宋体" w:cs="宋体"/>
                <w:color w:val="000000"/>
                <w:kern w:val="0"/>
                <w:sz w:val="20"/>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22</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建立维修接待、进厂检查、签订合同（托修单）、维修作业与过程检验、竣工检验、结算交车、返修与抱怨处理、跟踪服务等维修服务流程，严格按照流程开展维修作业；未建立服务流程的扣</w:t>
            </w:r>
            <w:r>
              <w:rPr>
                <w:color w:val="000000"/>
                <w:kern w:val="0"/>
                <w:sz w:val="20"/>
                <w:lang w:bidi="ar"/>
              </w:rPr>
              <w:t>30</w:t>
            </w:r>
            <w:r>
              <w:rPr>
                <w:rStyle w:val="27"/>
                <w:rFonts w:hint="default"/>
                <w:lang w:bidi="ar"/>
              </w:rPr>
              <w:t>分，服务不规范的扣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60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23</w:t>
            </w:r>
          </w:p>
        </w:tc>
        <w:tc>
          <w:tcPr>
            <w:tcW w:w="3575" w:type="pct"/>
            <w:noWrap w:val="0"/>
            <w:tcMar>
              <w:top w:w="15" w:type="dxa"/>
              <w:left w:w="15" w:type="dxa"/>
              <w:right w:w="15" w:type="dxa"/>
            </w:tcMar>
            <w:vAlign w:val="center"/>
          </w:tcPr>
          <w:p>
            <w:pPr>
              <w:pStyle w:val="4"/>
              <w:spacing w:line="260" w:lineRule="exact"/>
              <w:rPr>
                <w:color w:val="000000"/>
                <w:sz w:val="20"/>
              </w:rPr>
            </w:pPr>
            <w:r>
              <w:rPr>
                <w:rStyle w:val="27"/>
                <w:rFonts w:hint="default"/>
                <w:lang w:bidi="ar"/>
              </w:rPr>
              <w:t>按要求建立维修档案（电子健康档案），档案应包括维修合同（托修单）、维修项目、维修人员及结算清单，单据填写规范、记录齐全；未建立维修档案的扣</w:t>
            </w:r>
            <w:r>
              <w:rPr>
                <w:color w:val="000000"/>
                <w:kern w:val="0"/>
                <w:sz w:val="20"/>
                <w:lang w:bidi="ar"/>
              </w:rPr>
              <w:t>60</w:t>
            </w:r>
            <w:r>
              <w:rPr>
                <w:rStyle w:val="27"/>
                <w:rFonts w:hint="default"/>
                <w:lang w:bidi="ar"/>
              </w:rPr>
              <w:t>分，档案内容缺失的扣</w:t>
            </w:r>
            <w:r>
              <w:rPr>
                <w:color w:val="000000"/>
                <w:kern w:val="0"/>
                <w:sz w:val="20"/>
                <w:lang w:bidi="ar"/>
              </w:rPr>
              <w:t>20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24</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发生服务质量有责投诉、媒体曝光等服务质量事件的扣</w:t>
            </w:r>
            <w:r>
              <w:rPr>
                <w:color w:val="000000"/>
                <w:kern w:val="0"/>
                <w:sz w:val="20"/>
                <w:lang w:bidi="ar"/>
              </w:rPr>
              <w:t>20</w:t>
            </w:r>
            <w:r>
              <w:rPr>
                <w:rFonts w:hint="eastAsia" w:ascii="宋体" w:hAnsi="宋体" w:cs="宋体"/>
                <w:color w:val="000000"/>
                <w:kern w:val="0"/>
                <w:sz w:val="20"/>
                <w:lang w:bidi="ar"/>
              </w:rPr>
              <w:t>分</w:t>
            </w:r>
            <w:r>
              <w:rPr>
                <w:color w:val="000000"/>
                <w:kern w:val="0"/>
                <w:sz w:val="20"/>
                <w:lang w:bidi="ar"/>
              </w:rPr>
              <w:t>/</w:t>
            </w:r>
            <w:r>
              <w:rPr>
                <w:rFonts w:hint="eastAsia" w:ascii="宋体" w:hAnsi="宋体" w:cs="宋体"/>
                <w:color w:val="000000"/>
                <w:kern w:val="0"/>
                <w:sz w:val="20"/>
                <w:lang w:bidi="ar"/>
              </w:rPr>
              <w:t>次。</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（五）</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场地</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设施</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25</w:t>
            </w:r>
          </w:p>
        </w:tc>
        <w:tc>
          <w:tcPr>
            <w:tcW w:w="3575" w:type="pct"/>
            <w:noWrap w:val="0"/>
            <w:tcMar>
              <w:top w:w="15" w:type="dxa"/>
              <w:left w:w="15" w:type="dxa"/>
              <w:right w:w="15" w:type="dxa"/>
            </w:tcMar>
            <w:vAlign w:val="center"/>
          </w:tcPr>
          <w:p>
            <w:pPr>
              <w:widowControl/>
              <w:spacing w:line="260" w:lineRule="exact"/>
              <w:textAlignment w:val="center"/>
              <w:rPr>
                <w:color w:val="000000"/>
                <w:sz w:val="18"/>
                <w:szCs w:val="18"/>
              </w:rPr>
            </w:pPr>
            <w:r>
              <w:rPr>
                <w:rFonts w:hint="eastAsia" w:ascii="宋体" w:hAnsi="宋体" w:cs="宋体"/>
                <w:color w:val="000000"/>
                <w:kern w:val="0"/>
                <w:sz w:val="18"/>
                <w:szCs w:val="18"/>
                <w:lang w:bidi="ar"/>
              </w:rPr>
              <w:t>从事汽车综合小修、发动机维修、车身维修、电气系统维修、自动变速器维修的，按相应面积要求设置接待室；无接待室的扣</w:t>
            </w:r>
            <w:r>
              <w:rPr>
                <w:rStyle w:val="29"/>
                <w:lang w:bidi="ar"/>
              </w:rPr>
              <w:t>20</w:t>
            </w:r>
            <w:r>
              <w:rPr>
                <w:rFonts w:hint="eastAsia" w:ascii="宋体" w:hAnsi="宋体" w:cs="宋体"/>
                <w:color w:val="000000"/>
                <w:kern w:val="0"/>
                <w:sz w:val="18"/>
                <w:szCs w:val="18"/>
                <w:lang w:bidi="ar"/>
              </w:rPr>
              <w:t>分，小于规定面积的扣</w:t>
            </w:r>
            <w:r>
              <w:rPr>
                <w:rStyle w:val="29"/>
                <w:lang w:bidi="ar"/>
              </w:rPr>
              <w:t>10</w:t>
            </w:r>
            <w:r>
              <w:rPr>
                <w:rFonts w:hint="eastAsia" w:ascii="宋体" w:hAnsi="宋体" w:cs="宋体"/>
                <w:color w:val="000000"/>
                <w:kern w:val="0"/>
                <w:sz w:val="18"/>
                <w:szCs w:val="18"/>
                <w:lang w:bidi="ar"/>
              </w:rPr>
              <w:t>分，客户休息设施不齐全的扣</w:t>
            </w:r>
            <w:r>
              <w:rPr>
                <w:rStyle w:val="29"/>
                <w:lang w:bidi="ar"/>
              </w:rPr>
              <w:t>10</w:t>
            </w:r>
            <w:r>
              <w:rPr>
                <w:rFonts w:hint="eastAsia" w:ascii="宋体" w:hAnsi="宋体" w:cs="宋体"/>
                <w:color w:val="000000"/>
                <w:kern w:val="0"/>
                <w:sz w:val="18"/>
                <w:szCs w:val="18"/>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停车场面积不小于</w:t>
            </w:r>
            <w:r>
              <w:rPr>
                <w:color w:val="000000"/>
                <w:kern w:val="0"/>
                <w:sz w:val="20"/>
                <w:lang w:bidi="ar"/>
              </w:rPr>
              <w:t>30m</w:t>
            </w:r>
            <w:r>
              <w:rPr>
                <w:rStyle w:val="30"/>
                <w:lang w:bidi="ar"/>
              </w:rPr>
              <w:t>2</w:t>
            </w:r>
            <w:r>
              <w:rPr>
                <w:rFonts w:hint="eastAsia" w:ascii="宋体" w:hAnsi="宋体" w:cs="宋体"/>
                <w:color w:val="000000"/>
                <w:kern w:val="0"/>
                <w:sz w:val="20"/>
                <w:lang w:bidi="ar"/>
              </w:rPr>
              <w:t>，场地界定标志明显，不占用道路和公共场所；小于</w:t>
            </w:r>
            <w:r>
              <w:rPr>
                <w:rStyle w:val="27"/>
                <w:rFonts w:hint="default"/>
                <w:lang w:bidi="ar"/>
              </w:rPr>
              <w:t>规定面积的</w:t>
            </w:r>
            <w:r>
              <w:rPr>
                <w:rFonts w:hint="eastAsia" w:ascii="宋体" w:hAnsi="宋体" w:cs="宋体"/>
                <w:color w:val="000000"/>
                <w:kern w:val="0"/>
                <w:sz w:val="20"/>
                <w:lang w:bidi="ar"/>
              </w:rPr>
              <w:t>扣</w:t>
            </w:r>
            <w:r>
              <w:rPr>
                <w:color w:val="000000"/>
                <w:kern w:val="0"/>
                <w:sz w:val="20"/>
                <w:lang w:bidi="ar"/>
              </w:rPr>
              <w:t>10</w:t>
            </w:r>
            <w:r>
              <w:rPr>
                <w:rFonts w:hint="eastAsia" w:ascii="宋体" w:hAnsi="宋体" w:cs="宋体"/>
                <w:color w:val="000000"/>
                <w:kern w:val="0"/>
                <w:sz w:val="20"/>
                <w:lang w:bidi="ar"/>
              </w:rPr>
              <w:t>分，占用道路和公共场所的扣</w:t>
            </w:r>
            <w:r>
              <w:rPr>
                <w:rStyle w:val="28"/>
                <w:lang w:bidi="ar"/>
              </w:rPr>
              <w:t>20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40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27</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生产厂房面积、结构及设施不符合综合小修或专项维修作业设备的工位布置、生产工艺和正常作业要求的扣</w:t>
            </w:r>
            <w:r>
              <w:rPr>
                <w:color w:val="000000"/>
                <w:kern w:val="0"/>
                <w:sz w:val="20"/>
                <w:lang w:bidi="ar"/>
              </w:rPr>
              <w:t>20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（五）</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场地</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设施</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150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28</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作业区合理布局，按功能设置独立作业区域，标识清晰；作业区干净整洁，工具、物料摆放有序，工具、配件、废料油污不落地；不符合要求的扣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29</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设备配置与其生产作业规模及生产工艺相适应，技术状况完好，符合相应国家标准或行业标准要求，能满足加工、检测精度和使用要求；检测设备及计量器具按规定检定合格；不符合要求的扣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租赁的生产厂房、停车场地具有合法的书面合同，租赁期限不少于</w:t>
            </w:r>
            <w:r>
              <w:rPr>
                <w:color w:val="000000"/>
                <w:kern w:val="0"/>
                <w:sz w:val="20"/>
                <w:lang w:bidi="ar"/>
              </w:rPr>
              <w:t>1</w:t>
            </w:r>
            <w:r>
              <w:rPr>
                <w:rStyle w:val="27"/>
                <w:rFonts w:hint="default"/>
                <w:lang w:bidi="ar"/>
              </w:rPr>
              <w:t>年，不符合要求的扣</w:t>
            </w:r>
            <w:r>
              <w:rPr>
                <w:color w:val="000000"/>
                <w:kern w:val="0"/>
                <w:sz w:val="20"/>
                <w:lang w:bidi="ar"/>
              </w:rPr>
              <w:t>10</w:t>
            </w:r>
            <w:r>
              <w:rPr>
                <w:rStyle w:val="27"/>
                <w:rFonts w:hint="default"/>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（六）</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环境</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保护</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31</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未明确环境保护管理责任人的扣</w:t>
            </w:r>
            <w:r>
              <w:rPr>
                <w:color w:val="000000"/>
                <w:kern w:val="0"/>
                <w:sz w:val="20"/>
                <w:lang w:bidi="ar"/>
              </w:rPr>
              <w:t>10</w:t>
            </w:r>
            <w:r>
              <w:rPr>
                <w:rStyle w:val="27"/>
                <w:rFonts w:hint="default"/>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32</w:t>
            </w:r>
          </w:p>
        </w:tc>
        <w:tc>
          <w:tcPr>
            <w:tcW w:w="3575" w:type="pct"/>
            <w:noWrap w:val="0"/>
            <w:tcMar>
              <w:top w:w="15" w:type="dxa"/>
              <w:left w:w="15" w:type="dxa"/>
              <w:right w:w="15" w:type="dxa"/>
            </w:tcMar>
            <w:vAlign w:val="center"/>
          </w:tcPr>
          <w:p>
            <w:pPr>
              <w:widowControl/>
              <w:spacing w:line="260" w:lineRule="exact"/>
              <w:textAlignment w:val="center"/>
              <w:rPr>
                <w:rFonts w:hint="eastAsia" w:ascii="宋体" w:hAnsi="宋体" w:cs="宋体"/>
                <w:color w:val="000000"/>
                <w:sz w:val="20"/>
              </w:rPr>
            </w:pPr>
            <w:r>
              <w:rPr>
                <w:rFonts w:hint="eastAsia" w:ascii="宋体" w:hAnsi="宋体" w:cs="宋体"/>
                <w:color w:val="000000"/>
                <w:kern w:val="0"/>
                <w:sz w:val="20"/>
                <w:lang w:bidi="ar"/>
              </w:rPr>
              <w:t>作业环境及按生产工艺配置的处理</w:t>
            </w:r>
            <w:r>
              <w:rPr>
                <w:color w:val="000000"/>
                <w:kern w:val="0"/>
                <w:sz w:val="20"/>
                <w:lang w:bidi="ar"/>
              </w:rPr>
              <w:t>“</w:t>
            </w:r>
            <w:r>
              <w:rPr>
                <w:rStyle w:val="27"/>
                <w:rFonts w:hint="default"/>
                <w:lang w:bidi="ar"/>
              </w:rPr>
              <w:t>四废</w:t>
            </w:r>
            <w:r>
              <w:rPr>
                <w:color w:val="000000"/>
                <w:kern w:val="0"/>
                <w:sz w:val="20"/>
                <w:lang w:bidi="ar"/>
              </w:rPr>
              <w:t>”</w:t>
            </w:r>
            <w:r>
              <w:rPr>
                <w:rStyle w:val="27"/>
                <w:rFonts w:hint="default"/>
                <w:lang w:bidi="ar"/>
              </w:rPr>
              <w:t>及采光、通风、吸尘、净化、消声等设施配置不齐全或不符合规定的扣</w:t>
            </w:r>
            <w:r>
              <w:rPr>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33</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未按要求设定废油、废液、废电解液、报废零部件等危险废物及有害垃圾存储独立区域的扣</w:t>
            </w:r>
            <w:r>
              <w:rPr>
                <w:rFonts w:hint="eastAsia"/>
                <w:color w:val="000000"/>
                <w:kern w:val="0"/>
                <w:sz w:val="20"/>
                <w:lang w:bidi="ar"/>
              </w:rPr>
              <w:t>10</w:t>
            </w:r>
            <w:r>
              <w:rPr>
                <w:rStyle w:val="27"/>
                <w:rFonts w:hint="default"/>
                <w:lang w:bidi="ar"/>
              </w:rPr>
              <w:t>分</w:t>
            </w:r>
            <w:r>
              <w:rPr>
                <w:color w:val="000000"/>
                <w:kern w:val="0"/>
                <w:sz w:val="20"/>
                <w:lang w:bidi="ar"/>
              </w:rPr>
              <w:t>/</w:t>
            </w:r>
            <w:r>
              <w:rPr>
                <w:rStyle w:val="27"/>
                <w:rFonts w:hint="default"/>
                <w:lang w:bidi="ar"/>
              </w:rPr>
              <w:t>项；存储区域未设置标识或隔离和控制设施的扣</w:t>
            </w:r>
            <w:r>
              <w:rPr>
                <w:rFonts w:hint="eastAsia"/>
                <w:color w:val="000000"/>
                <w:kern w:val="0"/>
                <w:sz w:val="20"/>
                <w:lang w:bidi="ar"/>
              </w:rPr>
              <w:t>5</w:t>
            </w:r>
            <w:r>
              <w:rPr>
                <w:rStyle w:val="27"/>
                <w:rFonts w:hint="default"/>
                <w:lang w:bidi="ar"/>
              </w:rPr>
              <w:t>分</w:t>
            </w:r>
            <w:r>
              <w:rPr>
                <w:color w:val="000000"/>
                <w:kern w:val="0"/>
                <w:sz w:val="20"/>
                <w:lang w:bidi="ar"/>
              </w:rPr>
              <w:t>/</w:t>
            </w:r>
            <w:r>
              <w:rPr>
                <w:rStyle w:val="27"/>
                <w:rFonts w:hint="default"/>
                <w:lang w:bidi="ar"/>
              </w:rPr>
              <w:t>项。</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34</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水污染排放和挥发性有机物</w:t>
            </w:r>
            <w:r>
              <w:rPr>
                <w:rStyle w:val="28"/>
                <w:lang w:bidi="ar"/>
              </w:rPr>
              <w:t>(</w:t>
            </w:r>
            <w:r>
              <w:rPr>
                <w:color w:val="000000"/>
                <w:kern w:val="0"/>
                <w:sz w:val="20"/>
                <w:lang w:bidi="ar"/>
              </w:rPr>
              <w:t>VOCs</w:t>
            </w:r>
            <w:r>
              <w:rPr>
                <w:rStyle w:val="28"/>
                <w:lang w:bidi="ar"/>
              </w:rPr>
              <w:t>)</w:t>
            </w:r>
            <w:r>
              <w:rPr>
                <w:rFonts w:hint="eastAsia" w:ascii="宋体" w:hAnsi="宋体" w:cs="宋体"/>
                <w:color w:val="000000"/>
                <w:kern w:val="0"/>
                <w:sz w:val="20"/>
                <w:lang w:bidi="ar"/>
              </w:rPr>
              <w:t>排放超标或其他行为受到生态环境部门处罚的扣</w:t>
            </w:r>
            <w:r>
              <w:rPr>
                <w:rFonts w:hint="eastAsia"/>
                <w:color w:val="000000"/>
                <w:kern w:val="0"/>
                <w:sz w:val="20"/>
                <w:lang w:bidi="ar"/>
              </w:rPr>
              <w:t>10</w:t>
            </w:r>
            <w:r>
              <w:rPr>
                <w:rFonts w:hint="eastAsia" w:ascii="宋体" w:hAnsi="宋体" w:cs="宋体"/>
                <w:color w:val="000000"/>
                <w:kern w:val="0"/>
                <w:sz w:val="20"/>
                <w:lang w:bidi="ar"/>
              </w:rPr>
              <w:t>分/次。</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35</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未委托具有相应合法资质的机构定期回收处置危险废物的扣</w:t>
            </w:r>
            <w:r>
              <w:rPr>
                <w:rStyle w:val="28"/>
                <w:lang w:bidi="ar"/>
              </w:rPr>
              <w:t>20</w:t>
            </w:r>
            <w:r>
              <w:rPr>
                <w:rFonts w:hint="eastAsia" w:ascii="宋体" w:hAnsi="宋体" w:cs="宋体"/>
                <w:color w:val="000000"/>
                <w:kern w:val="0"/>
                <w:sz w:val="20"/>
                <w:lang w:bidi="ar"/>
              </w:rPr>
              <w:t>分；未建立危险废物管理台账，如实记录危险废物产生、转移情况的扣</w:t>
            </w:r>
            <w:r>
              <w:rPr>
                <w:color w:val="000000"/>
                <w:kern w:val="0"/>
                <w:sz w:val="20"/>
                <w:lang w:bidi="ar"/>
              </w:rPr>
              <w:t>10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restart"/>
            <w:noWrap w:val="0"/>
            <w:tcMar>
              <w:top w:w="15" w:type="dxa"/>
              <w:left w:w="15" w:type="dxa"/>
              <w:right w:w="15" w:type="dxa"/>
            </w:tcMar>
            <w:vAlign w:val="center"/>
          </w:tcPr>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（七）</w:t>
            </w:r>
          </w:p>
          <w:p>
            <w:pPr>
              <w:widowControl/>
              <w:spacing w:line="260" w:lineRule="exact"/>
              <w:jc w:val="center"/>
              <w:textAlignment w:val="center"/>
              <w:rPr>
                <w:rFonts w:hint="eastAsia" w:ascii="方正黑体_GBK" w:hAnsi="方正黑体_GBK" w:eastAsia="方正黑体_GBK" w:cs="方正黑体_GBK"/>
                <w:color w:val="000000"/>
                <w:kern w:val="0"/>
                <w:sz w:val="20"/>
                <w:lang w:bidi="ar"/>
              </w:rPr>
            </w:pPr>
            <w:r>
              <w:rPr>
                <w:rFonts w:hint="eastAsia" w:ascii="方正黑体_GBK" w:hAnsi="方正黑体_GBK" w:eastAsia="方正黑体_GBK" w:cs="方正黑体_GBK"/>
                <w:color w:val="000000"/>
                <w:kern w:val="0"/>
                <w:sz w:val="20"/>
                <w:lang w:bidi="ar"/>
              </w:rPr>
              <w:t>创新</w:t>
            </w:r>
          </w:p>
          <w:p>
            <w:pPr>
              <w:widowControl/>
              <w:spacing w:line="260" w:lineRule="exact"/>
              <w:jc w:val="center"/>
              <w:textAlignment w:val="center"/>
              <w:rPr>
                <w:rFonts w:hint="eastAsia"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奖励</w:t>
            </w:r>
          </w:p>
        </w:tc>
        <w:tc>
          <w:tcPr>
            <w:tcW w:w="245" w:type="pct"/>
            <w:vMerge w:val="restar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50</w:t>
            </w: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36</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员工着装统一、示证上岗，得</w:t>
            </w:r>
            <w:r>
              <w:rPr>
                <w:color w:val="000000"/>
                <w:kern w:val="0"/>
                <w:sz w:val="20"/>
                <w:lang w:bidi="ar"/>
              </w:rPr>
              <w:t>5</w:t>
            </w:r>
            <w:r>
              <w:rPr>
                <w:rFonts w:hint="eastAsia" w:ascii="宋体" w:hAnsi="宋体" w:cs="宋体"/>
                <w:color w:val="000000"/>
                <w:kern w:val="0"/>
                <w:sz w:val="20"/>
                <w:lang w:bidi="ar"/>
              </w:rPr>
              <w:t>分；业务接待员仪表端庄，主动热情，语言文明，得</w:t>
            </w:r>
            <w:r>
              <w:rPr>
                <w:color w:val="000000"/>
                <w:kern w:val="0"/>
                <w:sz w:val="20"/>
                <w:lang w:bidi="ar"/>
              </w:rPr>
              <w:t>5</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37</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Style w:val="27"/>
                <w:rFonts w:hint="default"/>
                <w:lang w:bidi="ar"/>
              </w:rPr>
              <w:t>维修技术人员具备机动车检测维修国家职业资格，得</w:t>
            </w:r>
            <w:r>
              <w:rPr>
                <w:color w:val="000000"/>
                <w:kern w:val="0"/>
                <w:sz w:val="20"/>
                <w:lang w:bidi="ar"/>
              </w:rPr>
              <w:t>5</w:t>
            </w:r>
            <w:r>
              <w:rPr>
                <w:rStyle w:val="27"/>
                <w:rFonts w:hint="default"/>
                <w:lang w:bidi="ar"/>
              </w:rPr>
              <w:t>分</w:t>
            </w:r>
            <w:r>
              <w:rPr>
                <w:color w:val="000000"/>
                <w:kern w:val="0"/>
                <w:sz w:val="20"/>
                <w:lang w:bidi="ar"/>
              </w:rPr>
              <w:t>/</w:t>
            </w:r>
            <w:r>
              <w:rPr>
                <w:rStyle w:val="27"/>
                <w:rFonts w:hint="default"/>
                <w:lang w:bidi="ar"/>
              </w:rPr>
              <w:t>人。</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20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38</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建立并使用汽车维修电子健康档案系统，得</w:t>
            </w:r>
            <w:r>
              <w:rPr>
                <w:rStyle w:val="28"/>
                <w:lang w:bidi="ar"/>
              </w:rPr>
              <w:t>20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355" w:type="pct"/>
            <w:vMerge w:val="continue"/>
            <w:noWrap w:val="0"/>
            <w:tcMar>
              <w:top w:w="15" w:type="dxa"/>
              <w:left w:w="15" w:type="dxa"/>
              <w:right w:w="15" w:type="dxa"/>
            </w:tcMar>
            <w:vAlign w:val="center"/>
          </w:tcPr>
          <w:p>
            <w:pPr>
              <w:widowControl/>
              <w:spacing w:line="260" w:lineRule="exact"/>
              <w:jc w:val="center"/>
              <w:rPr>
                <w:rFonts w:hint="eastAsia" w:ascii="方正黑体_GBK" w:hAnsi="方正黑体_GBK" w:eastAsia="方正黑体_GBK" w:cs="方正黑体_GBK"/>
                <w:color w:val="000000"/>
                <w:sz w:val="20"/>
              </w:rPr>
            </w:pPr>
          </w:p>
        </w:tc>
        <w:tc>
          <w:tcPr>
            <w:tcW w:w="245" w:type="pct"/>
            <w:vMerge w:val="continue"/>
            <w:noWrap w:val="0"/>
            <w:tcMar>
              <w:top w:w="15" w:type="dxa"/>
              <w:left w:w="15" w:type="dxa"/>
              <w:right w:w="15" w:type="dxa"/>
            </w:tcMar>
            <w:vAlign w:val="center"/>
          </w:tcPr>
          <w:p>
            <w:pPr>
              <w:widowControl/>
              <w:spacing w:line="260" w:lineRule="exact"/>
              <w:jc w:val="center"/>
              <w:rPr>
                <w:color w:val="000000"/>
                <w:sz w:val="20"/>
              </w:rPr>
            </w:pPr>
          </w:p>
        </w:tc>
        <w:tc>
          <w:tcPr>
            <w:tcW w:w="270"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w:t>
            </w:r>
          </w:p>
        </w:tc>
        <w:tc>
          <w:tcPr>
            <w:tcW w:w="247" w:type="pct"/>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39</w:t>
            </w:r>
          </w:p>
        </w:tc>
        <w:tc>
          <w:tcPr>
            <w:tcW w:w="3575" w:type="pct"/>
            <w:noWrap w:val="0"/>
            <w:tcMar>
              <w:top w:w="15" w:type="dxa"/>
              <w:left w:w="15" w:type="dxa"/>
              <w:right w:w="15" w:type="dxa"/>
            </w:tcMar>
            <w:vAlign w:val="center"/>
          </w:tcPr>
          <w:p>
            <w:pPr>
              <w:widowControl/>
              <w:spacing w:line="260" w:lineRule="exact"/>
              <w:textAlignment w:val="center"/>
              <w:rPr>
                <w:color w:val="000000"/>
                <w:sz w:val="20"/>
              </w:rPr>
            </w:pPr>
            <w:r>
              <w:rPr>
                <w:rFonts w:hint="eastAsia" w:ascii="宋体" w:hAnsi="宋体" w:cs="宋体"/>
                <w:color w:val="000000"/>
                <w:kern w:val="0"/>
                <w:sz w:val="20"/>
                <w:lang w:bidi="ar"/>
              </w:rPr>
              <w:t>获得各类表彰或积极参与公益服务活动，得</w:t>
            </w:r>
            <w:r>
              <w:rPr>
                <w:color w:val="000000"/>
                <w:kern w:val="0"/>
                <w:sz w:val="20"/>
                <w:lang w:bidi="ar"/>
              </w:rPr>
              <w:t>10</w:t>
            </w:r>
            <w:r>
              <w:rPr>
                <w:rFonts w:hint="eastAsia" w:ascii="宋体" w:hAnsi="宋体" w:cs="宋体"/>
                <w:color w:val="000000"/>
                <w:kern w:val="0"/>
                <w:sz w:val="20"/>
                <w:lang w:bidi="ar"/>
              </w:rPr>
              <w:t>分。</w:t>
            </w:r>
          </w:p>
        </w:tc>
        <w:tc>
          <w:tcPr>
            <w:tcW w:w="308" w:type="pct"/>
            <w:noWrap w:val="0"/>
            <w:tcMar>
              <w:top w:w="15" w:type="dxa"/>
              <w:left w:w="15" w:type="dxa"/>
              <w:right w:w="15" w:type="dxa"/>
            </w:tcMar>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55" w:type="pct"/>
            <w:noWrap w:val="0"/>
            <w:tcMar>
              <w:top w:w="15" w:type="dxa"/>
              <w:left w:w="15" w:type="dxa"/>
              <w:right w:w="15" w:type="dxa"/>
            </w:tcMar>
            <w:vAlign w:val="center"/>
          </w:tcPr>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总分</w:t>
            </w:r>
          </w:p>
        </w:tc>
        <w:tc>
          <w:tcPr>
            <w:tcW w:w="762" w:type="pct"/>
            <w:gridSpan w:val="3"/>
            <w:noWrap w:val="0"/>
            <w:tcMar>
              <w:top w:w="15" w:type="dxa"/>
              <w:left w:w="15" w:type="dxa"/>
              <w:right w:w="15" w:type="dxa"/>
            </w:tcMar>
            <w:vAlign w:val="center"/>
          </w:tcPr>
          <w:p>
            <w:pPr>
              <w:widowControl/>
              <w:spacing w:line="260" w:lineRule="exact"/>
              <w:jc w:val="center"/>
              <w:textAlignment w:val="center"/>
              <w:rPr>
                <w:color w:val="000000"/>
                <w:sz w:val="20"/>
              </w:rPr>
            </w:pPr>
            <w:r>
              <w:rPr>
                <w:color w:val="000000"/>
                <w:kern w:val="0"/>
                <w:sz w:val="20"/>
                <w:lang w:bidi="ar"/>
              </w:rPr>
              <w:t>1000</w:t>
            </w:r>
          </w:p>
        </w:tc>
        <w:tc>
          <w:tcPr>
            <w:tcW w:w="3575" w:type="pct"/>
            <w:noWrap w:val="0"/>
            <w:tcMar>
              <w:top w:w="15" w:type="dxa"/>
              <w:left w:w="15" w:type="dxa"/>
              <w:right w:w="15" w:type="dxa"/>
            </w:tcMar>
            <w:vAlign w:val="center"/>
          </w:tcPr>
          <w:p>
            <w:pPr>
              <w:widowControl/>
              <w:spacing w:line="260" w:lineRule="exact"/>
              <w:jc w:val="center"/>
              <w:textAlignment w:val="center"/>
              <w:rPr>
                <w:color w:val="000000"/>
                <w:sz w:val="20"/>
              </w:rPr>
            </w:pPr>
            <w:r>
              <w:rPr>
                <w:rFonts w:hint="eastAsia" w:ascii="方正黑体_GBK" w:hAnsi="方正黑体_GBK" w:eastAsia="方正黑体_GBK" w:cs="方正黑体_GBK"/>
                <w:color w:val="000000"/>
                <w:kern w:val="0"/>
                <w:sz w:val="20"/>
                <w:lang w:bidi="ar"/>
              </w:rPr>
              <w:t>实际得分</w:t>
            </w:r>
          </w:p>
        </w:tc>
        <w:tc>
          <w:tcPr>
            <w:tcW w:w="308" w:type="pct"/>
            <w:noWrap w:val="0"/>
            <w:tcMar>
              <w:top w:w="15" w:type="dxa"/>
              <w:left w:w="15" w:type="dxa"/>
              <w:right w:w="15" w:type="dxa"/>
            </w:tcMar>
            <w:vAlign w:val="center"/>
          </w:tcPr>
          <w:p>
            <w:pPr>
              <w:widowControl/>
              <w:spacing w:line="260" w:lineRule="exact"/>
              <w:jc w:val="center"/>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17" w:type="pct"/>
            <w:gridSpan w:val="4"/>
            <w:noWrap w:val="0"/>
            <w:tcMar>
              <w:top w:w="15" w:type="dxa"/>
              <w:left w:w="15" w:type="dxa"/>
              <w:right w:w="15" w:type="dxa"/>
            </w:tcMar>
            <w:vAlign w:val="center"/>
          </w:tcPr>
          <w:p>
            <w:pPr>
              <w:widowControl/>
              <w:spacing w:line="260" w:lineRule="exact"/>
              <w:jc w:val="center"/>
              <w:textAlignment w:val="center"/>
              <w:rPr>
                <w:rStyle w:val="26"/>
                <w:rFonts w:hint="default"/>
                <w:lang w:bidi="ar"/>
              </w:rPr>
            </w:pPr>
            <w:r>
              <w:rPr>
                <w:rStyle w:val="26"/>
                <w:rFonts w:hint="default"/>
                <w:lang w:bidi="ar"/>
              </w:rPr>
              <w:t>区县道路运输事务</w:t>
            </w:r>
          </w:p>
          <w:p>
            <w:pPr>
              <w:widowControl/>
              <w:spacing w:line="260" w:lineRule="exact"/>
              <w:jc w:val="center"/>
              <w:textAlignment w:val="center"/>
              <w:rPr>
                <w:color w:val="000000"/>
                <w:sz w:val="20"/>
              </w:rPr>
            </w:pPr>
            <w:r>
              <w:rPr>
                <w:rStyle w:val="26"/>
                <w:rFonts w:hint="default"/>
                <w:lang w:bidi="ar"/>
              </w:rPr>
              <w:t>机构评定意见</w:t>
            </w:r>
          </w:p>
        </w:tc>
        <w:tc>
          <w:tcPr>
            <w:tcW w:w="3883" w:type="pct"/>
            <w:gridSpan w:val="2"/>
            <w:noWrap w:val="0"/>
            <w:tcMar>
              <w:top w:w="15" w:type="dxa"/>
              <w:left w:w="15" w:type="dxa"/>
              <w:right w:w="15" w:type="dxa"/>
            </w:tcMar>
            <w:vAlign w:val="center"/>
          </w:tcPr>
          <w:p>
            <w:pPr>
              <w:widowControl/>
              <w:spacing w:line="260" w:lineRule="exact"/>
              <w:jc w:val="center"/>
              <w:textAlignment w:val="center"/>
              <w:rPr>
                <w:rFonts w:hint="eastAsia" w:ascii="宋体" w:hAnsi="宋体" w:cs="宋体"/>
                <w:color w:val="000000"/>
                <w:kern w:val="0"/>
                <w:szCs w:val="21"/>
                <w:lang w:bidi="ar"/>
              </w:rPr>
            </w:pPr>
          </w:p>
          <w:p>
            <w:pPr>
              <w:widowControl/>
              <w:spacing w:line="2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达标□</w:t>
            </w:r>
            <w:r>
              <w:rPr>
                <w:color w:val="000000"/>
                <w:kern w:val="0"/>
                <w:szCs w:val="21"/>
                <w:lang w:bidi="ar"/>
              </w:rPr>
              <w:t xml:space="preserve">                          </w:t>
            </w:r>
            <w:r>
              <w:rPr>
                <w:rFonts w:hint="eastAsia" w:ascii="宋体" w:hAnsi="宋体" w:cs="宋体"/>
                <w:color w:val="000000"/>
                <w:kern w:val="0"/>
                <w:szCs w:val="21"/>
                <w:lang w:bidi="ar"/>
              </w:rPr>
              <w:t>不达标□</w:t>
            </w:r>
          </w:p>
          <w:p>
            <w:pPr>
              <w:pStyle w:val="4"/>
              <w:spacing w:line="260" w:lineRule="exact"/>
            </w:pPr>
          </w:p>
          <w:p>
            <w:pPr>
              <w:pStyle w:val="4"/>
              <w:spacing w:line="260" w:lineRule="exact"/>
            </w:pPr>
          </w:p>
          <w:p>
            <w:pPr>
              <w:widowControl/>
              <w:spacing w:line="260" w:lineRule="exact"/>
              <w:jc w:val="center"/>
              <w:textAlignment w:val="center"/>
              <w:rPr>
                <w:color w:val="000000"/>
                <w:kern w:val="0"/>
                <w:sz w:val="44"/>
                <w:szCs w:val="44"/>
                <w:lang w:bidi="ar"/>
              </w:rPr>
            </w:pPr>
            <w:r>
              <w:rPr>
                <w:color w:val="000000"/>
                <w:kern w:val="0"/>
                <w:sz w:val="24"/>
                <w:szCs w:val="24"/>
                <w:lang w:bidi="ar"/>
              </w:rPr>
              <w:t xml:space="preserve"> </w:t>
            </w:r>
            <w:r>
              <w:rPr>
                <w:color w:val="000000"/>
                <w:kern w:val="0"/>
                <w:sz w:val="44"/>
                <w:szCs w:val="44"/>
                <w:lang w:bidi="ar"/>
              </w:rPr>
              <w:t xml:space="preserve"> </w:t>
            </w:r>
          </w:p>
          <w:p>
            <w:pPr>
              <w:widowControl/>
              <w:spacing w:line="260" w:lineRule="exact"/>
              <w:jc w:val="center"/>
              <w:textAlignment w:val="center"/>
              <w:rPr>
                <w:rFonts w:hint="eastAsia"/>
                <w:color w:val="000000"/>
                <w:kern w:val="0"/>
                <w:szCs w:val="21"/>
                <w:lang w:bidi="ar"/>
              </w:rPr>
            </w:pPr>
            <w:r>
              <w:rPr>
                <w:rFonts w:hint="eastAsia"/>
                <w:color w:val="000000"/>
                <w:kern w:val="0"/>
                <w:sz w:val="24"/>
                <w:szCs w:val="24"/>
                <w:lang w:bidi="ar"/>
              </w:rPr>
              <w:t xml:space="preserve">   </w:t>
            </w:r>
            <w:r>
              <w:rPr>
                <w:rFonts w:hint="eastAsia" w:ascii="宋体" w:hAnsi="宋体" w:cs="宋体"/>
                <w:color w:val="000000"/>
                <w:kern w:val="0"/>
                <w:szCs w:val="21"/>
                <w:lang w:bidi="ar"/>
              </w:rPr>
              <w:t>经办人：</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 xml:space="preserve">  </w:t>
            </w:r>
            <w:r>
              <w:rPr>
                <w:rFonts w:hint="eastAsia" w:ascii="宋体" w:hAnsi="宋体" w:cs="宋体"/>
                <w:color w:val="000000"/>
                <w:kern w:val="0"/>
                <w:szCs w:val="21"/>
                <w:lang w:bidi="ar"/>
              </w:rPr>
              <w:t>负责人：</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p>
          <w:p>
            <w:pPr>
              <w:widowControl/>
              <w:spacing w:line="260" w:lineRule="exact"/>
              <w:jc w:val="center"/>
              <w:textAlignment w:val="center"/>
              <w:rPr>
                <w:rFonts w:hint="eastAsia"/>
                <w:color w:val="000000"/>
                <w:kern w:val="0"/>
                <w:szCs w:val="21"/>
                <w:lang w:bidi="ar"/>
              </w:rPr>
            </w:pPr>
          </w:p>
          <w:p>
            <w:pPr>
              <w:widowControl/>
              <w:spacing w:line="260" w:lineRule="exact"/>
              <w:jc w:val="center"/>
              <w:textAlignment w:val="center"/>
              <w:rPr>
                <w:color w:val="000000"/>
                <w:szCs w:val="21"/>
              </w:rPr>
            </w:pPr>
            <w:r>
              <w:rPr>
                <w:rFonts w:hint="eastAsia" w:ascii="宋体" w:hAnsi="宋体" w:cs="宋体"/>
                <w:color w:val="000000"/>
                <w:kern w:val="0"/>
                <w:szCs w:val="21"/>
                <w:lang w:bidi="ar"/>
              </w:rPr>
              <w:t xml:space="preserve">                                          </w:t>
            </w:r>
            <w:r>
              <w:rPr>
                <w:rStyle w:val="24"/>
                <w:rFonts w:hint="default"/>
                <w:lang w:bidi="ar"/>
              </w:rPr>
              <w:t>年</w:t>
            </w:r>
            <w:r>
              <w:rPr>
                <w:rStyle w:val="23"/>
                <w:rFonts w:hint="default"/>
                <w:lang w:bidi="ar"/>
              </w:rPr>
              <w:t xml:space="preserve">    </w:t>
            </w:r>
            <w:r>
              <w:rPr>
                <w:rStyle w:val="24"/>
                <w:rFonts w:hint="default"/>
                <w:lang w:bidi="ar"/>
              </w:rPr>
              <w:t>月</w:t>
            </w:r>
            <w:r>
              <w:rPr>
                <w:rStyle w:val="23"/>
                <w:rFonts w:hint="default"/>
                <w:lang w:bidi="ar"/>
              </w:rPr>
              <w:t xml:space="preserve">    </w:t>
            </w:r>
            <w:r>
              <w:rPr>
                <w:rStyle w:val="24"/>
                <w:rFonts w:hint="default"/>
                <w:lang w:bidi="ar"/>
              </w:rPr>
              <w:t>日</w:t>
            </w:r>
          </w:p>
        </w:tc>
      </w:tr>
    </w:tbl>
    <w:p>
      <w:pPr>
        <w:spacing w:line="560" w:lineRule="exact"/>
        <w:rPr>
          <w:rFonts w:eastAsia="方正黑体_GBK"/>
          <w:bCs/>
          <w:color w:val="000000"/>
          <w:spacing w:val="10"/>
          <w:sz w:val="32"/>
          <w:szCs w:val="32"/>
        </w:rPr>
      </w:pPr>
    </w:p>
    <w:p>
      <w:pPr>
        <w:spacing w:line="560" w:lineRule="exact"/>
        <w:rPr>
          <w:rFonts w:eastAsia="方正黑体_GBK"/>
          <w:bCs/>
          <w:color w:val="000000"/>
          <w:spacing w:val="10"/>
          <w:sz w:val="32"/>
          <w:szCs w:val="32"/>
        </w:rPr>
      </w:pPr>
      <w:r>
        <w:rPr>
          <w:rFonts w:eastAsia="方正黑体_GBK"/>
          <w:bCs/>
          <w:color w:val="000000"/>
          <w:spacing w:val="10"/>
          <w:sz w:val="32"/>
          <w:szCs w:val="32"/>
        </w:rPr>
        <w:t>附件</w:t>
      </w:r>
      <w:r>
        <w:rPr>
          <w:rFonts w:hint="eastAsia" w:eastAsia="方正黑体_GBK"/>
          <w:bCs/>
          <w:color w:val="000000"/>
          <w:spacing w:val="10"/>
          <w:sz w:val="32"/>
          <w:szCs w:val="32"/>
        </w:rPr>
        <w:t>3</w:t>
      </w:r>
    </w:p>
    <w:p>
      <w:pPr>
        <w:spacing w:line="560" w:lineRule="exact"/>
        <w:rPr>
          <w:rFonts w:eastAsia="方正黑体_GBK"/>
          <w:bCs/>
          <w:color w:val="000000"/>
          <w:spacing w:val="10"/>
          <w:sz w:val="32"/>
          <w:szCs w:val="32"/>
        </w:rPr>
      </w:pPr>
    </w:p>
    <w:p>
      <w:pPr>
        <w:spacing w:line="560" w:lineRule="exact"/>
        <w:jc w:val="center"/>
        <w:rPr>
          <w:rFonts w:eastAsia="方正小标宋_GBK"/>
          <w:bCs/>
          <w:color w:val="000000"/>
          <w:spacing w:val="10"/>
          <w:sz w:val="44"/>
          <w:szCs w:val="44"/>
        </w:rPr>
      </w:pPr>
      <w:r>
        <w:rPr>
          <w:rFonts w:hint="eastAsia" w:eastAsia="方正小标宋_GBK"/>
          <w:bCs/>
          <w:color w:val="000000"/>
          <w:spacing w:val="10"/>
          <w:sz w:val="44"/>
          <w:szCs w:val="44"/>
        </w:rPr>
        <w:t>重庆市星级维修企业</w:t>
      </w:r>
      <w:r>
        <w:rPr>
          <w:rFonts w:eastAsia="方正小标宋_GBK"/>
          <w:bCs/>
          <w:color w:val="000000"/>
          <w:spacing w:val="10"/>
          <w:sz w:val="44"/>
          <w:szCs w:val="44"/>
        </w:rPr>
        <w:t>评定申</w:t>
      </w:r>
      <w:r>
        <w:rPr>
          <w:rFonts w:hint="eastAsia" w:eastAsia="方正小标宋_GBK"/>
          <w:bCs/>
          <w:color w:val="000000"/>
          <w:spacing w:val="10"/>
          <w:sz w:val="44"/>
          <w:szCs w:val="44"/>
        </w:rPr>
        <w:t>请</w:t>
      </w:r>
      <w:r>
        <w:rPr>
          <w:rFonts w:eastAsia="方正小标宋_GBK"/>
          <w:bCs/>
          <w:color w:val="000000"/>
          <w:spacing w:val="10"/>
          <w:sz w:val="44"/>
          <w:szCs w:val="44"/>
        </w:rPr>
        <w:t>表</w:t>
      </w:r>
    </w:p>
    <w:tbl>
      <w:tblPr>
        <w:tblStyle w:val="8"/>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91"/>
        <w:gridCol w:w="1245"/>
        <w:gridCol w:w="1695"/>
        <w:gridCol w:w="510"/>
        <w:gridCol w:w="130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38"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企业名称</w:t>
            </w:r>
          </w:p>
        </w:tc>
        <w:tc>
          <w:tcPr>
            <w:tcW w:w="4741" w:type="dxa"/>
            <w:gridSpan w:val="4"/>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p>
        </w:tc>
        <w:tc>
          <w:tcPr>
            <w:tcW w:w="1305"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企业法人</w:t>
            </w:r>
          </w:p>
        </w:tc>
        <w:tc>
          <w:tcPr>
            <w:tcW w:w="1882" w:type="dxa"/>
            <w:noWrap w:val="0"/>
            <w:vAlign w:val="center"/>
          </w:tcPr>
          <w:p>
            <w:pPr>
              <w:pStyle w:val="6"/>
              <w:adjustRightInd w:val="0"/>
              <w:snapToGrid w:val="0"/>
              <w:spacing w:before="0" w:beforeAutospacing="0" w:after="0" w:afterAutospacing="0" w:line="560" w:lineRule="atLeast"/>
              <w:jc w:val="center"/>
              <w:rPr>
                <w:rFonts w:ascii="Times New Roman" w:hAnsi="Times New Roman" w:eastAsia="方正黑体_GBK"/>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38"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企业类别</w:t>
            </w:r>
          </w:p>
        </w:tc>
        <w:tc>
          <w:tcPr>
            <w:tcW w:w="1291"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p>
        </w:tc>
        <w:tc>
          <w:tcPr>
            <w:tcW w:w="1245"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所修车型</w:t>
            </w:r>
          </w:p>
        </w:tc>
        <w:tc>
          <w:tcPr>
            <w:tcW w:w="1695" w:type="dxa"/>
            <w:noWrap w:val="0"/>
            <w:vAlign w:val="center"/>
          </w:tcPr>
          <w:p>
            <w:pPr>
              <w:pStyle w:val="6"/>
              <w:adjustRightInd w:val="0"/>
              <w:snapToGrid w:val="0"/>
              <w:spacing w:before="0" w:beforeAutospacing="0" w:after="0" w:afterAutospacing="0" w:line="560" w:lineRule="atLeast"/>
              <w:jc w:val="center"/>
              <w:rPr>
                <w:rFonts w:ascii="Times New Roman" w:hAnsi="Times New Roman" w:eastAsia="方正黑体_GBK"/>
                <w:snapToGrid w:val="0"/>
                <w:color w:val="000000"/>
              </w:rPr>
            </w:pPr>
          </w:p>
        </w:tc>
        <w:tc>
          <w:tcPr>
            <w:tcW w:w="1815" w:type="dxa"/>
            <w:gridSpan w:val="2"/>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联系人及电话</w:t>
            </w:r>
          </w:p>
        </w:tc>
        <w:tc>
          <w:tcPr>
            <w:tcW w:w="1882" w:type="dxa"/>
            <w:noWrap w:val="0"/>
            <w:vAlign w:val="center"/>
          </w:tcPr>
          <w:p>
            <w:pPr>
              <w:pStyle w:val="6"/>
              <w:adjustRightInd w:val="0"/>
              <w:snapToGrid w:val="0"/>
              <w:spacing w:before="0" w:beforeAutospacing="0" w:after="0" w:afterAutospacing="0" w:line="560" w:lineRule="atLeast"/>
              <w:jc w:val="center"/>
              <w:rPr>
                <w:rFonts w:ascii="Times New Roman" w:hAnsi="Times New Roman" w:eastAsia="方正黑体_GBK"/>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38" w:type="dxa"/>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r>
              <w:rPr>
                <w:rFonts w:ascii="Times New Roman" w:hAnsi="Times New Roman" w:eastAsia="方正黑体_GBK"/>
                <w:snapToGrid w:val="0"/>
                <w:color w:val="000000"/>
              </w:rPr>
              <w:t>详细地址</w:t>
            </w:r>
          </w:p>
        </w:tc>
        <w:tc>
          <w:tcPr>
            <w:tcW w:w="7928" w:type="dxa"/>
            <w:gridSpan w:val="6"/>
            <w:noWrap w:val="0"/>
            <w:vAlign w:val="center"/>
          </w:tcPr>
          <w:p>
            <w:pPr>
              <w:pStyle w:val="6"/>
              <w:widowControl/>
              <w:adjustRightInd w:val="0"/>
              <w:snapToGrid w:val="0"/>
              <w:spacing w:before="0" w:beforeAutospacing="0" w:after="0" w:afterAutospacing="0" w:line="400" w:lineRule="atLeast"/>
              <w:jc w:val="center"/>
              <w:rPr>
                <w:rFonts w:ascii="Times New Roman" w:hAnsi="Times New Roman" w:eastAsia="方正黑体_GBK"/>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8" w:hRule="atLeast"/>
        </w:trPr>
        <w:tc>
          <w:tcPr>
            <w:tcW w:w="1238" w:type="dxa"/>
            <w:noWrap w:val="0"/>
            <w:vAlign w:val="center"/>
          </w:tcPr>
          <w:p>
            <w:pPr>
              <w:pStyle w:val="6"/>
              <w:widowControl/>
              <w:adjustRightInd w:val="0"/>
              <w:snapToGrid w:val="0"/>
              <w:spacing w:before="0" w:beforeAutospacing="0" w:after="0" w:afterAutospacing="0" w:line="40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企业基本</w:t>
            </w:r>
          </w:p>
          <w:p>
            <w:pPr>
              <w:pStyle w:val="6"/>
              <w:widowControl/>
              <w:adjustRightInd w:val="0"/>
              <w:snapToGrid w:val="0"/>
              <w:spacing w:before="0" w:beforeAutospacing="0" w:after="0" w:afterAutospacing="0" w:line="400" w:lineRule="exact"/>
              <w:jc w:val="center"/>
              <w:rPr>
                <w:rFonts w:ascii="Times New Roman" w:hAnsi="Times New Roman" w:eastAsia="方正仿宋_GBK"/>
                <w:snapToGrid w:val="0"/>
                <w:color w:val="000000"/>
                <w:sz w:val="28"/>
                <w:szCs w:val="28"/>
              </w:rPr>
            </w:pPr>
            <w:r>
              <w:rPr>
                <w:rFonts w:ascii="Times New Roman" w:hAnsi="Times New Roman" w:eastAsia="方正黑体_GBK"/>
                <w:snapToGrid w:val="0"/>
                <w:color w:val="000000"/>
              </w:rPr>
              <w:t>概    况</w:t>
            </w:r>
          </w:p>
        </w:tc>
        <w:tc>
          <w:tcPr>
            <w:tcW w:w="7928" w:type="dxa"/>
            <w:gridSpan w:val="6"/>
            <w:noWrap w:val="0"/>
            <w:vAlign w:val="top"/>
          </w:tcPr>
          <w:p>
            <w:pPr>
              <w:pStyle w:val="6"/>
              <w:adjustRightInd w:val="0"/>
              <w:snapToGrid w:val="0"/>
              <w:spacing w:before="0" w:beforeAutospacing="0" w:after="0" w:afterAutospacing="0" w:line="560" w:lineRule="atLeast"/>
              <w:jc w:val="both"/>
              <w:rPr>
                <w:rFonts w:hint="eastAsia" w:ascii="方正仿宋_GBK" w:hAnsi="Times New Roman" w:eastAsia="方正仿宋_GBK"/>
                <w:snapToGrid w:val="0"/>
                <w:color w:val="000000"/>
                <w:sz w:val="28"/>
                <w:szCs w:val="28"/>
              </w:rPr>
            </w:pPr>
          </w:p>
          <w:p>
            <w:pPr>
              <w:pStyle w:val="6"/>
              <w:adjustRightInd w:val="0"/>
              <w:snapToGrid w:val="0"/>
              <w:spacing w:before="0" w:beforeAutospacing="0" w:after="0" w:afterAutospacing="0" w:line="560" w:lineRule="atLeast"/>
              <w:jc w:val="both"/>
              <w:rPr>
                <w:rFonts w:hint="eastAsia" w:ascii="方正仿宋_GBK" w:hAnsi="Times New Roman" w:eastAsia="方正仿宋_GBK"/>
                <w:snapToGrid w:val="0"/>
                <w:color w:val="000000"/>
                <w:sz w:val="28"/>
                <w:szCs w:val="28"/>
              </w:rPr>
            </w:pPr>
          </w:p>
          <w:p>
            <w:pPr>
              <w:pStyle w:val="6"/>
              <w:adjustRightInd w:val="0"/>
              <w:snapToGrid w:val="0"/>
              <w:spacing w:before="0" w:beforeAutospacing="0" w:after="0" w:afterAutospacing="0" w:line="560" w:lineRule="atLeast"/>
              <w:jc w:val="both"/>
              <w:rPr>
                <w:rFonts w:hint="eastAsia" w:ascii="方正仿宋_GBK" w:hAnsi="Times New Roman" w:eastAsia="方正仿宋_GBK"/>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38" w:type="dxa"/>
            <w:noWrap w:val="0"/>
            <w:vAlign w:val="center"/>
          </w:tcPr>
          <w:p>
            <w:pPr>
              <w:pStyle w:val="6"/>
              <w:widowControl/>
              <w:adjustRightInd w:val="0"/>
              <w:snapToGrid w:val="0"/>
              <w:spacing w:before="0" w:beforeAutospacing="0" w:after="0" w:afterAutospacing="0" w:line="32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评定周期</w:t>
            </w:r>
          </w:p>
          <w:p>
            <w:pPr>
              <w:pStyle w:val="6"/>
              <w:widowControl/>
              <w:adjustRightInd w:val="0"/>
              <w:snapToGrid w:val="0"/>
              <w:spacing w:before="0" w:beforeAutospacing="0" w:after="0" w:afterAutospacing="0" w:line="32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信用评价</w:t>
            </w:r>
          </w:p>
          <w:p>
            <w:pPr>
              <w:pStyle w:val="6"/>
              <w:widowControl/>
              <w:adjustRightInd w:val="0"/>
              <w:snapToGrid w:val="0"/>
              <w:spacing w:before="0" w:beforeAutospacing="0" w:after="0" w:afterAutospacing="0" w:line="320" w:lineRule="exact"/>
              <w:jc w:val="center"/>
              <w:rPr>
                <w:rFonts w:ascii="Times New Roman" w:hAnsi="Times New Roman" w:eastAsia="方正仿宋_GBK"/>
                <w:snapToGrid w:val="0"/>
                <w:color w:val="000000"/>
                <w:sz w:val="28"/>
                <w:szCs w:val="28"/>
              </w:rPr>
            </w:pPr>
            <w:r>
              <w:rPr>
                <w:rFonts w:ascii="Times New Roman" w:hAnsi="Times New Roman" w:eastAsia="方正黑体_GBK"/>
                <w:snapToGrid w:val="0"/>
                <w:color w:val="000000"/>
              </w:rPr>
              <w:t>等    级</w:t>
            </w:r>
          </w:p>
        </w:tc>
        <w:tc>
          <w:tcPr>
            <w:tcW w:w="7928" w:type="dxa"/>
            <w:gridSpan w:val="6"/>
            <w:noWrap w:val="0"/>
            <w:vAlign w:val="center"/>
          </w:tcPr>
          <w:p>
            <w:pPr>
              <w:pStyle w:val="6"/>
              <w:widowControl/>
              <w:adjustRightInd w:val="0"/>
              <w:snapToGrid w:val="0"/>
              <w:spacing w:before="0" w:beforeAutospacing="0" w:after="0" w:afterAutospacing="0" w:line="400" w:lineRule="atLeast"/>
              <w:jc w:val="center"/>
              <w:rPr>
                <w:rFonts w:hint="eastAsia" w:ascii="方正仿宋_GBK" w:hAnsi="宋体" w:eastAsia="方正仿宋_GBK" w:cs="宋体"/>
                <w:snapToGrid w:val="0"/>
                <w:color w:val="000000"/>
                <w:sz w:val="28"/>
                <w:szCs w:val="28"/>
              </w:rPr>
            </w:pPr>
            <w:r>
              <w:rPr>
                <w:rFonts w:hint="eastAsia" w:ascii="方正仿宋_GBK" w:hAnsi="宋体" w:eastAsia="方正仿宋_GBK" w:cs="宋体"/>
                <w:snapToGrid w:val="0"/>
                <w:color w:val="000000"/>
                <w:sz w:val="26"/>
                <w:szCs w:val="26"/>
              </w:rPr>
              <w:t>第一年（  ）级       第二年（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238" w:type="dxa"/>
            <w:noWrap w:val="0"/>
            <w:vAlign w:val="center"/>
          </w:tcPr>
          <w:p>
            <w:pPr>
              <w:pStyle w:val="6"/>
              <w:widowControl/>
              <w:adjustRightInd w:val="0"/>
              <w:snapToGrid w:val="0"/>
              <w:spacing w:before="0" w:beforeAutospacing="0" w:after="0" w:afterAutospacing="0" w:line="320" w:lineRule="exact"/>
              <w:jc w:val="center"/>
              <w:rPr>
                <w:rFonts w:ascii="Times New Roman" w:hAnsi="Times New Roman" w:eastAsia="方正黑体_GBK"/>
                <w:snapToGrid w:val="0"/>
                <w:color w:val="000000"/>
              </w:rPr>
            </w:pPr>
            <w:r>
              <w:rPr>
                <w:rFonts w:hint="eastAsia" w:ascii="Times New Roman" w:hAnsi="Times New Roman" w:eastAsia="方正黑体_GBK"/>
                <w:snapToGrid w:val="0"/>
                <w:color w:val="000000"/>
              </w:rPr>
              <w:t>申请等级</w:t>
            </w:r>
          </w:p>
        </w:tc>
        <w:tc>
          <w:tcPr>
            <w:tcW w:w="7928" w:type="dxa"/>
            <w:gridSpan w:val="6"/>
            <w:noWrap w:val="0"/>
            <w:vAlign w:val="center"/>
          </w:tcPr>
          <w:p>
            <w:pPr>
              <w:pStyle w:val="6"/>
              <w:widowControl/>
              <w:adjustRightInd w:val="0"/>
              <w:snapToGrid w:val="0"/>
              <w:spacing w:before="0" w:beforeAutospacing="0" w:after="0" w:afterAutospacing="0" w:line="360" w:lineRule="exact"/>
              <w:jc w:val="center"/>
              <w:rPr>
                <w:rFonts w:hint="eastAsia" w:ascii="方正仿宋_GBK" w:hAnsi="宋体" w:eastAsia="方正仿宋_GBK" w:cs="宋体"/>
                <w:snapToGrid w:val="0"/>
                <w:color w:val="000000"/>
                <w:sz w:val="26"/>
                <w:szCs w:val="26"/>
              </w:rPr>
            </w:pPr>
            <w:r>
              <w:rPr>
                <w:rFonts w:hint="eastAsia" w:ascii="方正仿宋_GBK" w:hAnsi="宋体" w:eastAsia="方正仿宋_GBK" w:cs="宋体"/>
                <w:snapToGrid w:val="0"/>
                <w:color w:val="000000"/>
                <w:sz w:val="26"/>
                <w:szCs w:val="26"/>
              </w:rPr>
              <w:t>五星级□           四星级□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exact"/>
        </w:trPr>
        <w:tc>
          <w:tcPr>
            <w:tcW w:w="1238" w:type="dxa"/>
            <w:noWrap w:val="0"/>
            <w:vAlign w:val="center"/>
          </w:tcPr>
          <w:p>
            <w:pPr>
              <w:pStyle w:val="6"/>
              <w:widowControl/>
              <w:adjustRightInd w:val="0"/>
              <w:snapToGrid w:val="0"/>
              <w:spacing w:before="0" w:beforeAutospacing="0" w:after="0" w:afterAutospacing="0" w:line="400" w:lineRule="exact"/>
              <w:jc w:val="center"/>
              <w:rPr>
                <w:rFonts w:hint="eastAsia" w:ascii="Times New Roman" w:hAnsi="Times New Roman" w:eastAsia="方正黑体_GBK"/>
                <w:snapToGrid w:val="0"/>
                <w:color w:val="000000"/>
              </w:rPr>
            </w:pPr>
            <w:r>
              <w:rPr>
                <w:rFonts w:ascii="Times New Roman" w:hAnsi="Times New Roman" w:eastAsia="方正黑体_GBK"/>
                <w:snapToGrid w:val="0"/>
                <w:color w:val="000000"/>
              </w:rPr>
              <w:t>申</w:t>
            </w:r>
            <w:r>
              <w:rPr>
                <w:rFonts w:hint="eastAsia" w:ascii="Times New Roman" w:hAnsi="Times New Roman" w:eastAsia="方正黑体_GBK"/>
                <w:snapToGrid w:val="0"/>
                <w:color w:val="000000"/>
              </w:rPr>
              <w:t>请企业</w:t>
            </w:r>
          </w:p>
          <w:p>
            <w:pPr>
              <w:pStyle w:val="6"/>
              <w:widowControl/>
              <w:adjustRightInd w:val="0"/>
              <w:snapToGrid w:val="0"/>
              <w:spacing w:before="0" w:beforeAutospacing="0" w:after="0" w:afterAutospacing="0" w:line="400" w:lineRule="exact"/>
              <w:jc w:val="center"/>
              <w:rPr>
                <w:rFonts w:ascii="Times New Roman" w:hAnsi="Times New Roman" w:eastAsia="方正黑体_GBK"/>
                <w:snapToGrid w:val="0"/>
                <w:color w:val="000000"/>
              </w:rPr>
            </w:pPr>
            <w:r>
              <w:rPr>
                <w:rFonts w:hint="eastAsia" w:ascii="Times New Roman" w:hAnsi="Times New Roman" w:eastAsia="方正黑体_GBK"/>
                <w:snapToGrid w:val="0"/>
                <w:color w:val="000000"/>
              </w:rPr>
              <w:t>意    见</w:t>
            </w:r>
          </w:p>
        </w:tc>
        <w:tc>
          <w:tcPr>
            <w:tcW w:w="7928" w:type="dxa"/>
            <w:gridSpan w:val="6"/>
            <w:noWrap w:val="0"/>
            <w:vAlign w:val="center"/>
          </w:tcPr>
          <w:p>
            <w:pPr>
              <w:pStyle w:val="6"/>
              <w:adjustRightInd w:val="0"/>
              <w:snapToGrid w:val="0"/>
              <w:spacing w:before="0" w:beforeAutospacing="0" w:after="0" w:afterAutospacing="0" w:line="460" w:lineRule="exact"/>
              <w:jc w:val="both"/>
              <w:rPr>
                <w:rFonts w:hint="eastAsia" w:ascii="方正仿宋_GBK" w:hAnsi="宋体" w:eastAsia="方正仿宋_GBK" w:cs="宋体"/>
                <w:color w:val="000000"/>
                <w:sz w:val="26"/>
                <w:szCs w:val="26"/>
              </w:rPr>
            </w:pPr>
          </w:p>
          <w:p>
            <w:pPr>
              <w:pStyle w:val="6"/>
              <w:adjustRightInd w:val="0"/>
              <w:snapToGrid w:val="0"/>
              <w:spacing w:before="0" w:beforeAutospacing="0" w:after="0" w:afterAutospacing="0" w:line="460" w:lineRule="exact"/>
              <w:jc w:val="both"/>
              <w:rPr>
                <w:rFonts w:hint="eastAsia" w:ascii="方正仿宋_GBK" w:hAnsi="宋体" w:eastAsia="方正仿宋_GBK" w:cs="宋体"/>
                <w:color w:val="000000"/>
                <w:sz w:val="26"/>
                <w:szCs w:val="26"/>
              </w:rPr>
            </w:pPr>
            <w:r>
              <w:rPr>
                <w:rFonts w:hint="eastAsia" w:ascii="方正仿宋_GBK" w:hAnsi="宋体" w:eastAsia="方正仿宋_GBK" w:cs="宋体"/>
                <w:color w:val="000000"/>
                <w:sz w:val="26"/>
                <w:szCs w:val="26"/>
              </w:rPr>
              <w:t xml:space="preserve"> </w:t>
            </w:r>
          </w:p>
          <w:p>
            <w:pPr>
              <w:pStyle w:val="6"/>
              <w:adjustRightInd w:val="0"/>
              <w:snapToGrid w:val="0"/>
              <w:spacing w:before="0" w:beforeAutospacing="0" w:after="0" w:afterAutospacing="0" w:line="460" w:lineRule="exact"/>
              <w:ind w:firstLine="2860" w:firstLineChars="1100"/>
              <w:jc w:val="both"/>
              <w:rPr>
                <w:rFonts w:hint="eastAsia" w:ascii="方正仿宋_GBK" w:hAnsi="宋体" w:eastAsia="方正仿宋_GBK" w:cs="宋体"/>
                <w:color w:val="000000"/>
                <w:sz w:val="26"/>
                <w:szCs w:val="26"/>
              </w:rPr>
            </w:pPr>
            <w:r>
              <w:rPr>
                <w:rFonts w:hint="eastAsia" w:ascii="方正仿宋_GBK" w:hAnsi="宋体" w:eastAsia="方正仿宋_GBK" w:cs="宋体"/>
                <w:color w:val="000000"/>
                <w:sz w:val="26"/>
                <w:szCs w:val="26"/>
              </w:rPr>
              <w:t>负责人签字：             （盖章）</w:t>
            </w:r>
          </w:p>
          <w:p>
            <w:pPr>
              <w:pStyle w:val="4"/>
              <w:spacing w:line="460" w:lineRule="exact"/>
              <w:jc w:val="both"/>
              <w:rPr>
                <w:rFonts w:hint="eastAsia" w:ascii="方正仿宋_GBK" w:hAnsi="宋体" w:eastAsia="方正仿宋_GBK" w:cs="宋体"/>
                <w:snapToGrid w:val="0"/>
                <w:color w:val="000000"/>
                <w:sz w:val="26"/>
                <w:szCs w:val="26"/>
              </w:rPr>
            </w:pPr>
            <w:r>
              <w:rPr>
                <w:rFonts w:hint="eastAsia" w:ascii="方正仿宋_GBK" w:hAnsi="宋体" w:eastAsia="方正仿宋_GBK" w:cs="宋体"/>
                <w:color w:val="000000"/>
                <w:kern w:val="0"/>
                <w:sz w:val="26"/>
                <w:szCs w:val="2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6" w:hRule="exact"/>
        </w:trPr>
        <w:tc>
          <w:tcPr>
            <w:tcW w:w="1238" w:type="dxa"/>
            <w:noWrap w:val="0"/>
            <w:vAlign w:val="center"/>
          </w:tcPr>
          <w:p>
            <w:pPr>
              <w:pStyle w:val="6"/>
              <w:widowControl/>
              <w:adjustRightInd w:val="0"/>
              <w:snapToGrid w:val="0"/>
              <w:spacing w:before="0" w:beforeAutospacing="0" w:after="0" w:afterAutospacing="0" w:line="40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区县道路</w:t>
            </w:r>
          </w:p>
          <w:p>
            <w:pPr>
              <w:pStyle w:val="6"/>
              <w:widowControl/>
              <w:adjustRightInd w:val="0"/>
              <w:snapToGrid w:val="0"/>
              <w:spacing w:before="0" w:beforeAutospacing="0" w:after="0" w:afterAutospacing="0" w:line="40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运输事务</w:t>
            </w:r>
          </w:p>
          <w:p>
            <w:pPr>
              <w:pStyle w:val="6"/>
              <w:widowControl/>
              <w:adjustRightInd w:val="0"/>
              <w:snapToGrid w:val="0"/>
              <w:spacing w:before="0" w:beforeAutospacing="0" w:after="0" w:afterAutospacing="0" w:line="400" w:lineRule="exact"/>
              <w:jc w:val="center"/>
              <w:rPr>
                <w:rFonts w:ascii="Times New Roman" w:hAnsi="Times New Roman" w:eastAsia="方正黑体_GBK"/>
                <w:snapToGrid w:val="0"/>
                <w:color w:val="000000"/>
              </w:rPr>
            </w:pPr>
            <w:r>
              <w:rPr>
                <w:rFonts w:ascii="Times New Roman" w:hAnsi="Times New Roman" w:eastAsia="方正黑体_GBK"/>
                <w:snapToGrid w:val="0"/>
                <w:color w:val="000000"/>
              </w:rPr>
              <w:t>机构意见</w:t>
            </w:r>
          </w:p>
        </w:tc>
        <w:tc>
          <w:tcPr>
            <w:tcW w:w="7928" w:type="dxa"/>
            <w:gridSpan w:val="6"/>
            <w:noWrap w:val="0"/>
            <w:vAlign w:val="center"/>
          </w:tcPr>
          <w:p>
            <w:pPr>
              <w:pStyle w:val="6"/>
              <w:adjustRightInd w:val="0"/>
              <w:snapToGrid w:val="0"/>
              <w:spacing w:before="0" w:beforeAutospacing="0" w:after="0" w:afterAutospacing="0" w:line="360" w:lineRule="exact"/>
              <w:ind w:firstLine="2600" w:firstLineChars="1000"/>
              <w:jc w:val="both"/>
              <w:rPr>
                <w:rFonts w:hint="eastAsia" w:ascii="方正仿宋_GBK" w:hAnsi="宋体" w:eastAsia="方正仿宋_GBK" w:cs="宋体"/>
                <w:color w:val="000000"/>
                <w:sz w:val="26"/>
                <w:szCs w:val="26"/>
              </w:rPr>
            </w:pPr>
          </w:p>
          <w:p>
            <w:pPr>
              <w:pStyle w:val="6"/>
              <w:adjustRightInd w:val="0"/>
              <w:snapToGrid w:val="0"/>
              <w:spacing w:before="0" w:beforeAutospacing="0" w:after="0" w:afterAutospacing="0" w:line="360" w:lineRule="exact"/>
              <w:ind w:firstLine="2600" w:firstLineChars="1000"/>
              <w:jc w:val="both"/>
              <w:rPr>
                <w:rFonts w:hint="eastAsia" w:ascii="方正仿宋_GBK" w:hAnsi="宋体" w:eastAsia="方正仿宋_GBK" w:cs="宋体"/>
                <w:color w:val="000000"/>
                <w:sz w:val="26"/>
                <w:szCs w:val="26"/>
              </w:rPr>
            </w:pPr>
          </w:p>
          <w:p>
            <w:pPr>
              <w:pStyle w:val="6"/>
              <w:adjustRightInd w:val="0"/>
              <w:snapToGrid w:val="0"/>
              <w:spacing w:before="0" w:beforeAutospacing="0" w:after="0" w:afterAutospacing="0" w:line="360" w:lineRule="exact"/>
              <w:ind w:firstLine="2600" w:firstLineChars="1000"/>
              <w:jc w:val="both"/>
              <w:rPr>
                <w:rFonts w:hint="eastAsia" w:ascii="方正仿宋_GBK" w:hAnsi="宋体" w:eastAsia="方正仿宋_GBK" w:cs="宋体"/>
                <w:color w:val="000000"/>
                <w:sz w:val="26"/>
                <w:szCs w:val="26"/>
              </w:rPr>
            </w:pPr>
          </w:p>
          <w:p>
            <w:pPr>
              <w:pStyle w:val="6"/>
              <w:adjustRightInd w:val="0"/>
              <w:snapToGrid w:val="0"/>
              <w:spacing w:before="0" w:beforeAutospacing="0" w:after="0" w:afterAutospacing="0" w:line="360" w:lineRule="exact"/>
              <w:ind w:firstLine="2860" w:firstLineChars="1100"/>
              <w:jc w:val="both"/>
              <w:rPr>
                <w:rFonts w:hint="eastAsia" w:ascii="方正仿宋_GBK" w:hAnsi="宋体" w:eastAsia="方正仿宋_GBK" w:cs="宋体"/>
                <w:color w:val="000000"/>
                <w:sz w:val="26"/>
                <w:szCs w:val="26"/>
              </w:rPr>
            </w:pPr>
            <w:r>
              <w:rPr>
                <w:rFonts w:hint="eastAsia" w:ascii="方正仿宋_GBK" w:hAnsi="宋体" w:eastAsia="方正仿宋_GBK" w:cs="宋体"/>
                <w:color w:val="000000"/>
                <w:sz w:val="26"/>
                <w:szCs w:val="26"/>
              </w:rPr>
              <w:t>评定人签字：             （盖章）</w:t>
            </w:r>
          </w:p>
          <w:p>
            <w:pPr>
              <w:pStyle w:val="6"/>
              <w:adjustRightInd w:val="0"/>
              <w:snapToGrid w:val="0"/>
              <w:spacing w:before="0" w:beforeAutospacing="0" w:after="0" w:afterAutospacing="0" w:line="360" w:lineRule="exact"/>
              <w:ind w:firstLine="1300" w:firstLineChars="500"/>
              <w:jc w:val="center"/>
              <w:rPr>
                <w:rFonts w:hint="eastAsia" w:ascii="方正仿宋_GBK" w:hAnsi="宋体" w:eastAsia="方正仿宋_GBK" w:cs="宋体"/>
                <w:snapToGrid w:val="0"/>
                <w:color w:val="000000"/>
                <w:sz w:val="28"/>
                <w:szCs w:val="28"/>
              </w:rPr>
            </w:pPr>
            <w:r>
              <w:rPr>
                <w:rFonts w:hint="eastAsia" w:ascii="方正仿宋_GBK" w:hAnsi="宋体" w:eastAsia="方正仿宋_GBK" w:cs="宋体"/>
                <w:color w:val="000000"/>
                <w:sz w:val="26"/>
                <w:szCs w:val="26"/>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1238" w:type="dxa"/>
            <w:noWrap w:val="0"/>
            <w:vAlign w:val="center"/>
          </w:tcPr>
          <w:p>
            <w:pPr>
              <w:pStyle w:val="6"/>
              <w:widowControl/>
              <w:adjustRightInd w:val="0"/>
              <w:snapToGrid w:val="0"/>
              <w:spacing w:before="0" w:beforeAutospacing="0" w:after="0" w:afterAutospacing="0" w:line="400" w:lineRule="exact"/>
              <w:jc w:val="center"/>
              <w:rPr>
                <w:rFonts w:hint="eastAsia" w:ascii="Times New Roman" w:hAnsi="Times New Roman" w:eastAsia="方正黑体_GBK"/>
                <w:snapToGrid w:val="0"/>
                <w:color w:val="000000"/>
              </w:rPr>
            </w:pPr>
            <w:r>
              <w:rPr>
                <w:rFonts w:ascii="Times New Roman" w:hAnsi="Times New Roman" w:eastAsia="方正黑体_GBK"/>
                <w:snapToGrid w:val="0"/>
                <w:color w:val="000000"/>
              </w:rPr>
              <w:t>区县</w:t>
            </w:r>
            <w:r>
              <w:rPr>
                <w:rFonts w:hint="eastAsia" w:ascii="Times New Roman" w:hAnsi="Times New Roman" w:eastAsia="方正黑体_GBK"/>
                <w:snapToGrid w:val="0"/>
                <w:color w:val="000000"/>
              </w:rPr>
              <w:t>交通</w:t>
            </w:r>
          </w:p>
          <w:p>
            <w:pPr>
              <w:pStyle w:val="6"/>
              <w:widowControl/>
              <w:adjustRightInd w:val="0"/>
              <w:snapToGrid w:val="0"/>
              <w:spacing w:before="0" w:beforeAutospacing="0" w:after="0" w:afterAutospacing="0" w:line="400" w:lineRule="exact"/>
              <w:jc w:val="center"/>
              <w:rPr>
                <w:rFonts w:hint="eastAsia" w:ascii="Times New Roman" w:hAnsi="Times New Roman" w:eastAsia="方正黑体_GBK"/>
                <w:snapToGrid w:val="0"/>
                <w:color w:val="000000"/>
              </w:rPr>
            </w:pPr>
            <w:r>
              <w:rPr>
                <w:rFonts w:hint="eastAsia" w:ascii="Times New Roman" w:hAnsi="Times New Roman" w:eastAsia="方正黑体_GBK"/>
                <w:snapToGrid w:val="0"/>
                <w:color w:val="000000"/>
              </w:rPr>
              <w:t>主管部门</w:t>
            </w:r>
          </w:p>
          <w:p>
            <w:pPr>
              <w:pStyle w:val="6"/>
              <w:widowControl/>
              <w:adjustRightInd w:val="0"/>
              <w:snapToGrid w:val="0"/>
              <w:spacing w:before="0" w:beforeAutospacing="0" w:after="0" w:afterAutospacing="0" w:line="400" w:lineRule="exact"/>
              <w:jc w:val="center"/>
              <w:rPr>
                <w:rFonts w:ascii="Times New Roman" w:hAnsi="Times New Roman" w:eastAsia="方正仿宋_GBK"/>
                <w:snapToGrid w:val="0"/>
                <w:color w:val="000000"/>
                <w:sz w:val="28"/>
                <w:szCs w:val="28"/>
              </w:rPr>
            </w:pPr>
            <w:r>
              <w:rPr>
                <w:rFonts w:ascii="Times New Roman" w:hAnsi="Times New Roman" w:eastAsia="方正黑体_GBK"/>
                <w:snapToGrid w:val="0"/>
                <w:color w:val="000000"/>
              </w:rPr>
              <w:t>意</w:t>
            </w:r>
            <w:r>
              <w:rPr>
                <w:rFonts w:hint="eastAsia" w:ascii="Times New Roman" w:hAnsi="Times New Roman" w:eastAsia="方正黑体_GBK"/>
                <w:snapToGrid w:val="0"/>
                <w:color w:val="000000"/>
              </w:rPr>
              <w:t xml:space="preserve">    </w:t>
            </w:r>
            <w:r>
              <w:rPr>
                <w:rFonts w:ascii="Times New Roman" w:hAnsi="Times New Roman" w:eastAsia="方正黑体_GBK"/>
                <w:snapToGrid w:val="0"/>
                <w:color w:val="000000"/>
              </w:rPr>
              <w:t>见</w:t>
            </w:r>
          </w:p>
        </w:tc>
        <w:tc>
          <w:tcPr>
            <w:tcW w:w="7928" w:type="dxa"/>
            <w:gridSpan w:val="6"/>
            <w:noWrap w:val="0"/>
            <w:vAlign w:val="top"/>
          </w:tcPr>
          <w:p>
            <w:pPr>
              <w:pStyle w:val="6"/>
              <w:adjustRightInd w:val="0"/>
              <w:snapToGrid w:val="0"/>
              <w:spacing w:before="0" w:beforeAutospacing="0" w:after="0" w:afterAutospacing="0" w:line="360" w:lineRule="exact"/>
              <w:ind w:firstLine="1400" w:firstLineChars="500"/>
              <w:jc w:val="both"/>
              <w:rPr>
                <w:rFonts w:hint="eastAsia" w:ascii="方正仿宋_GBK" w:hAnsi="宋体" w:eastAsia="方正仿宋_GBK" w:cs="宋体"/>
                <w:color w:val="000000"/>
                <w:sz w:val="28"/>
                <w:szCs w:val="28"/>
              </w:rPr>
            </w:pPr>
            <w:r>
              <w:rPr>
                <w:rFonts w:hint="eastAsia" w:ascii="方正仿宋_GBK" w:hAnsi="宋体" w:eastAsia="方正仿宋_GBK" w:cs="宋体"/>
                <w:color w:val="000000"/>
                <w:sz w:val="28"/>
                <w:szCs w:val="28"/>
              </w:rPr>
              <w:t xml:space="preserve">  </w:t>
            </w:r>
          </w:p>
          <w:p>
            <w:pPr>
              <w:pStyle w:val="6"/>
              <w:adjustRightInd w:val="0"/>
              <w:snapToGrid w:val="0"/>
              <w:spacing w:before="0" w:beforeAutospacing="0" w:after="0" w:afterAutospacing="0" w:line="360" w:lineRule="exact"/>
              <w:ind w:firstLine="1400" w:firstLineChars="500"/>
              <w:jc w:val="both"/>
              <w:rPr>
                <w:rFonts w:hint="eastAsia" w:ascii="方正仿宋_GBK" w:hAnsi="宋体" w:eastAsia="方正仿宋_GBK" w:cs="宋体"/>
                <w:color w:val="000000"/>
                <w:sz w:val="28"/>
                <w:szCs w:val="28"/>
              </w:rPr>
            </w:pPr>
          </w:p>
          <w:p>
            <w:pPr>
              <w:pStyle w:val="6"/>
              <w:adjustRightInd w:val="0"/>
              <w:snapToGrid w:val="0"/>
              <w:spacing w:before="0" w:beforeAutospacing="0" w:after="0" w:afterAutospacing="0" w:line="360" w:lineRule="exact"/>
              <w:ind w:firstLine="1400" w:firstLineChars="500"/>
              <w:jc w:val="both"/>
              <w:rPr>
                <w:rFonts w:hint="eastAsia" w:ascii="方正仿宋_GBK" w:hAnsi="宋体" w:eastAsia="方正仿宋_GBK" w:cs="宋体"/>
                <w:color w:val="000000"/>
                <w:sz w:val="28"/>
                <w:szCs w:val="28"/>
              </w:rPr>
            </w:pPr>
          </w:p>
          <w:p>
            <w:pPr>
              <w:pStyle w:val="6"/>
              <w:adjustRightInd w:val="0"/>
              <w:snapToGrid w:val="0"/>
              <w:spacing w:before="0" w:beforeAutospacing="0" w:after="0" w:afterAutospacing="0" w:line="460" w:lineRule="exact"/>
              <w:ind w:firstLine="2860" w:firstLineChars="1100"/>
              <w:jc w:val="both"/>
              <w:rPr>
                <w:rFonts w:hint="eastAsia" w:ascii="方正仿宋_GBK" w:hAnsi="宋体" w:eastAsia="方正仿宋_GBK" w:cs="宋体"/>
                <w:color w:val="000000"/>
                <w:sz w:val="26"/>
                <w:szCs w:val="26"/>
              </w:rPr>
            </w:pPr>
            <w:r>
              <w:rPr>
                <w:rFonts w:hint="eastAsia" w:ascii="方正仿宋_GBK" w:hAnsi="宋体" w:eastAsia="方正仿宋_GBK" w:cs="宋体"/>
                <w:color w:val="000000"/>
                <w:sz w:val="26"/>
                <w:szCs w:val="26"/>
              </w:rPr>
              <w:t>负责人签字：             （盖章）</w:t>
            </w:r>
          </w:p>
          <w:p>
            <w:pPr>
              <w:pStyle w:val="6"/>
              <w:adjustRightInd w:val="0"/>
              <w:snapToGrid w:val="0"/>
              <w:spacing w:before="0" w:beforeAutospacing="0" w:after="0" w:afterAutospacing="0" w:line="360" w:lineRule="exact"/>
              <w:ind w:firstLine="1300" w:firstLineChars="500"/>
              <w:jc w:val="both"/>
              <w:rPr>
                <w:rFonts w:hint="eastAsia" w:ascii="方正仿宋_GBK" w:hAnsi="宋体" w:eastAsia="方正仿宋_GBK" w:cs="宋体"/>
                <w:snapToGrid w:val="0"/>
                <w:color w:val="000000"/>
                <w:sz w:val="28"/>
                <w:szCs w:val="28"/>
              </w:rPr>
            </w:pPr>
            <w:r>
              <w:rPr>
                <w:rFonts w:hint="eastAsia" w:ascii="方正仿宋_GBK" w:hAnsi="宋体" w:eastAsia="方正仿宋_GBK" w:cs="宋体"/>
                <w:color w:val="000000"/>
                <w:sz w:val="26"/>
                <w:szCs w:val="26"/>
              </w:rPr>
              <w:t xml:space="preserve">                                  年    月    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172085</wp:posOffset>
              </wp:positionV>
              <wp:extent cx="5184140" cy="635"/>
              <wp:effectExtent l="0" t="10795" r="16510" b="17145"/>
              <wp:wrapNone/>
              <wp:docPr id="11" name="直接连接符 11"/>
              <wp:cNvGraphicFramePr/>
              <a:graphic xmlns:a="http://schemas.openxmlformats.org/drawingml/2006/main">
                <a:graphicData uri="http://schemas.microsoft.com/office/word/2010/wordprocessingShape">
                  <wps:wsp>
                    <wps:cNvCnPr/>
                    <wps:spPr>
                      <a:xfrm>
                        <a:off x="0" y="0"/>
                        <a:ext cx="51841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3.55pt;height:0.05pt;width:408.2pt;z-index:251669504;mso-width-relative:page;mso-height-relative:page;" filled="f" stroked="t" coordsize="21600,21600" o:gfxdata="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2uaSQ1QAAAAgB&#10;AAAPAAAAAAAAAAEAIAAAADgAAABkcnMvZG93bnJldi54bWxQSwECFAAUAAAACACHTuJABNXNWM8B&#10;AABoAwAADgAAAAAAAAABACAAAAA6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eastAsia="zh-CN"/>
      </w:rPr>
      <w:t>重庆市交通局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375285</wp:posOffset>
              </wp:positionV>
              <wp:extent cx="5147945" cy="635"/>
              <wp:effectExtent l="0" t="10795" r="14605" b="17145"/>
              <wp:wrapNone/>
              <wp:docPr id="2" name="直接连接符 2"/>
              <wp:cNvGraphicFramePr/>
              <a:graphic xmlns:a="http://schemas.openxmlformats.org/drawingml/2006/main">
                <a:graphicData uri="http://schemas.microsoft.com/office/word/2010/wordprocessingShape">
                  <wps:wsp>
                    <wps:cNvCnPr/>
                    <wps:spPr>
                      <a:xfrm>
                        <a:off x="4133850" y="864870"/>
                        <a:ext cx="514794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29.55pt;height:0.05pt;width:405.35pt;z-index:251665408;mso-width-relative:page;mso-height-relative:page;" filled="f" stroked="t" coordsize="21600,21600" o:gfxdata="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2&#10;ScWL0wAAAAYBAAAPAAAAAAAAAAEAIAAAADgAAABkcnMvZG93bnJldi54bWxQSwECFAAUAAAACACH&#10;TuJAefU8L9oBAABxAwAADgAAAAAAAAABACAAAAA4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7EF485"/>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font151"/>
    <w:basedOn w:val="9"/>
    <w:qFormat/>
    <w:uiPriority w:val="0"/>
    <w:rPr>
      <w:rFonts w:hint="default" w:ascii="Times New Roman" w:hAnsi="Times New Roman" w:cs="Times New Roman"/>
      <w:color w:val="000000"/>
      <w:sz w:val="30"/>
      <w:szCs w:val="30"/>
      <w:u w:val="none"/>
    </w:rPr>
  </w:style>
  <w:style w:type="character" w:customStyle="1" w:styleId="13">
    <w:name w:val="font112"/>
    <w:basedOn w:val="9"/>
    <w:qFormat/>
    <w:uiPriority w:val="0"/>
    <w:rPr>
      <w:rFonts w:ascii="方正小标宋_GBK" w:hAnsi="方正小标宋_GBK" w:eastAsia="方正小标宋_GBK" w:cs="方正小标宋_GBK"/>
      <w:color w:val="000000"/>
      <w:sz w:val="38"/>
      <w:szCs w:val="38"/>
      <w:u w:val="none"/>
    </w:rPr>
  </w:style>
  <w:style w:type="character" w:customStyle="1" w:styleId="14">
    <w:name w:val="font161"/>
    <w:basedOn w:val="9"/>
    <w:qFormat/>
    <w:uiPriority w:val="0"/>
    <w:rPr>
      <w:rFonts w:hint="eastAsia" w:ascii="方正黑体_GBK" w:hAnsi="方正黑体_GBK" w:eastAsia="方正黑体_GBK" w:cs="方正黑体_GBK"/>
      <w:color w:val="000000"/>
      <w:sz w:val="20"/>
      <w:szCs w:val="20"/>
      <w:u w:val="none"/>
    </w:rPr>
  </w:style>
  <w:style w:type="character" w:customStyle="1" w:styleId="15">
    <w:name w:val="font31"/>
    <w:basedOn w:val="9"/>
    <w:qFormat/>
    <w:uiPriority w:val="0"/>
    <w:rPr>
      <w:rFonts w:hint="eastAsia" w:ascii="方正黑体_GBK" w:hAnsi="方正黑体_GBK" w:eastAsia="方正黑体_GBK" w:cs="方正黑体_GBK"/>
      <w:color w:val="000000"/>
      <w:sz w:val="20"/>
      <w:szCs w:val="20"/>
      <w:u w:val="none"/>
    </w:rPr>
  </w:style>
  <w:style w:type="character" w:customStyle="1" w:styleId="16">
    <w:name w:val="font131"/>
    <w:basedOn w:val="9"/>
    <w:qFormat/>
    <w:uiPriority w:val="0"/>
    <w:rPr>
      <w:rFonts w:hint="eastAsia" w:ascii="宋体" w:hAnsi="宋体" w:eastAsia="宋体" w:cs="宋体"/>
      <w:color w:val="000000"/>
      <w:sz w:val="20"/>
      <w:szCs w:val="20"/>
      <w:u w:val="none"/>
    </w:rPr>
  </w:style>
  <w:style w:type="character" w:customStyle="1" w:styleId="17">
    <w:name w:val="font51"/>
    <w:basedOn w:val="9"/>
    <w:qFormat/>
    <w:uiPriority w:val="0"/>
    <w:rPr>
      <w:rFonts w:hint="default" w:ascii="Times New Roman" w:hAnsi="Times New Roman" w:cs="Times New Roman"/>
      <w:color w:val="000000"/>
      <w:sz w:val="20"/>
      <w:szCs w:val="20"/>
      <w:u w:val="none"/>
    </w:rPr>
  </w:style>
  <w:style w:type="character" w:customStyle="1" w:styleId="18">
    <w:name w:val="font91"/>
    <w:basedOn w:val="9"/>
    <w:qFormat/>
    <w:uiPriority w:val="0"/>
    <w:rPr>
      <w:rFonts w:hint="default" w:ascii="Times New Roman" w:hAnsi="Times New Roman" w:cs="Times New Roman"/>
      <w:color w:val="000000"/>
      <w:sz w:val="20"/>
      <w:szCs w:val="20"/>
      <w:u w:val="none"/>
    </w:rPr>
  </w:style>
  <w:style w:type="character" w:customStyle="1" w:styleId="19">
    <w:name w:val="font101"/>
    <w:basedOn w:val="9"/>
    <w:qFormat/>
    <w:uiPriority w:val="0"/>
    <w:rPr>
      <w:rFonts w:hint="eastAsia" w:ascii="宋体" w:hAnsi="宋体" w:eastAsia="宋体" w:cs="宋体"/>
      <w:color w:val="000000"/>
      <w:sz w:val="20"/>
      <w:szCs w:val="20"/>
      <w:u w:val="none"/>
    </w:rPr>
  </w:style>
  <w:style w:type="character" w:customStyle="1" w:styleId="20">
    <w:name w:val="font121"/>
    <w:basedOn w:val="9"/>
    <w:qFormat/>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default" w:ascii="Times New Roman" w:hAnsi="Times New Roman" w:cs="Times New Roman"/>
      <w:color w:val="000000"/>
      <w:sz w:val="20"/>
      <w:szCs w:val="20"/>
      <w:u w:val="none"/>
      <w:vertAlign w:val="superscript"/>
    </w:rPr>
  </w:style>
  <w:style w:type="character" w:customStyle="1" w:styleId="22">
    <w:name w:val="font11"/>
    <w:basedOn w:val="9"/>
    <w:qFormat/>
    <w:uiPriority w:val="0"/>
    <w:rPr>
      <w:rFonts w:hint="eastAsia" w:ascii="宋体" w:hAnsi="宋体" w:eastAsia="宋体" w:cs="宋体"/>
      <w:color w:val="000000"/>
      <w:sz w:val="22"/>
      <w:szCs w:val="22"/>
      <w:u w:val="none"/>
    </w:rPr>
  </w:style>
  <w:style w:type="character" w:customStyle="1" w:styleId="23">
    <w:name w:val="font01"/>
    <w:basedOn w:val="9"/>
    <w:qFormat/>
    <w:uiPriority w:val="0"/>
    <w:rPr>
      <w:rFonts w:hint="eastAsia" w:ascii="宋体" w:hAnsi="宋体" w:eastAsia="宋体" w:cs="宋体"/>
      <w:color w:val="000000"/>
      <w:sz w:val="21"/>
      <w:szCs w:val="21"/>
      <w:u w:val="none"/>
    </w:rPr>
  </w:style>
  <w:style w:type="character" w:customStyle="1" w:styleId="24">
    <w:name w:val="font41"/>
    <w:basedOn w:val="9"/>
    <w:qFormat/>
    <w:uiPriority w:val="0"/>
    <w:rPr>
      <w:rFonts w:hint="eastAsia" w:ascii="宋体" w:hAnsi="宋体" w:eastAsia="宋体" w:cs="宋体"/>
      <w:color w:val="000000"/>
      <w:sz w:val="21"/>
      <w:szCs w:val="21"/>
      <w:u w:val="none"/>
    </w:rPr>
  </w:style>
  <w:style w:type="character" w:customStyle="1" w:styleId="25">
    <w:name w:val="font222"/>
    <w:basedOn w:val="9"/>
    <w:qFormat/>
    <w:uiPriority w:val="0"/>
    <w:rPr>
      <w:rFonts w:hint="default" w:ascii="Times New Roman" w:hAnsi="Times New Roman" w:cs="Times New Roman"/>
      <w:color w:val="000000"/>
      <w:sz w:val="30"/>
      <w:szCs w:val="30"/>
      <w:u w:val="none"/>
    </w:rPr>
  </w:style>
  <w:style w:type="character" w:customStyle="1" w:styleId="26">
    <w:name w:val="font241"/>
    <w:basedOn w:val="9"/>
    <w:qFormat/>
    <w:uiPriority w:val="0"/>
    <w:rPr>
      <w:rFonts w:hint="eastAsia" w:ascii="方正黑体_GBK" w:hAnsi="方正黑体_GBK" w:eastAsia="方正黑体_GBK" w:cs="方正黑体_GBK"/>
      <w:color w:val="000000"/>
      <w:sz w:val="20"/>
      <w:szCs w:val="20"/>
      <w:u w:val="none"/>
    </w:rPr>
  </w:style>
  <w:style w:type="character" w:customStyle="1" w:styleId="27">
    <w:name w:val="font181"/>
    <w:basedOn w:val="9"/>
    <w:qFormat/>
    <w:uiPriority w:val="0"/>
    <w:rPr>
      <w:rFonts w:hint="eastAsia" w:ascii="宋体" w:hAnsi="宋体" w:eastAsia="宋体" w:cs="宋体"/>
      <w:color w:val="000000"/>
      <w:sz w:val="20"/>
      <w:szCs w:val="20"/>
      <w:u w:val="none"/>
    </w:rPr>
  </w:style>
  <w:style w:type="character" w:customStyle="1" w:styleId="28">
    <w:name w:val="font71"/>
    <w:basedOn w:val="9"/>
    <w:qFormat/>
    <w:uiPriority w:val="0"/>
    <w:rPr>
      <w:rFonts w:hint="default" w:ascii="Times New Roman" w:hAnsi="Times New Roman" w:cs="Times New Roman"/>
      <w:color w:val="000000"/>
      <w:sz w:val="20"/>
      <w:szCs w:val="20"/>
      <w:u w:val="none"/>
    </w:rPr>
  </w:style>
  <w:style w:type="character" w:customStyle="1" w:styleId="29">
    <w:name w:val="font141"/>
    <w:basedOn w:val="9"/>
    <w:qFormat/>
    <w:uiPriority w:val="0"/>
    <w:rPr>
      <w:rFonts w:hint="default" w:ascii="Times New Roman" w:hAnsi="Times New Roman" w:cs="Times New Roman"/>
      <w:color w:val="000000"/>
      <w:sz w:val="18"/>
      <w:szCs w:val="18"/>
      <w:u w:val="none"/>
    </w:rPr>
  </w:style>
  <w:style w:type="character" w:customStyle="1" w:styleId="30">
    <w:name w:val="font22"/>
    <w:basedOn w:val="9"/>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jtj</cp:lastModifiedBy>
  <cp:lastPrinted>2022-06-07T00:09:00Z</cp:lastPrinted>
  <dcterms:modified xsi:type="dcterms:W3CDTF">2022-10-25T17:39:32Z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