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rPr>
          <w:rFonts w:hint="eastAsia" w:ascii="仿宋_GB2312" w:eastAsia="仿宋_GB2312"/>
          <w:color w:val="000000"/>
          <w:sz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olor w:val="000000"/>
          <w:sz w:val="44"/>
        </w:rPr>
      </w:pPr>
      <w:r>
        <w:rPr>
          <w:rFonts w:hint="eastAsia" w:ascii="方正小标宋_GBK" w:hAnsi="宋体" w:eastAsia="方正小标宋_GBK"/>
          <w:color w:val="000000"/>
          <w:sz w:val="44"/>
        </w:rPr>
        <w:t>重庆市交通局关于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宋体" w:eastAsia="方正小标宋_GBK"/>
          <w:color w:val="000000"/>
          <w:sz w:val="44"/>
        </w:rPr>
        <w:t>印发</w:t>
      </w:r>
      <w:r>
        <w:rPr>
          <w:rFonts w:hint="eastAsia" w:ascii="方正小标宋_GBK" w:hAnsi="宋体" w:eastAsia="方正小标宋_GBK" w:cs="宋体"/>
          <w:color w:val="000000"/>
          <w:kern w:val="0"/>
          <w:sz w:val="44"/>
          <w:szCs w:val="44"/>
        </w:rPr>
        <w:t>重庆市轨道交</w:t>
      </w:r>
      <w:bookmarkStart w:id="0" w:name="_GoBack"/>
      <w:bookmarkEnd w:id="0"/>
      <w:r>
        <w:rPr>
          <w:rFonts w:hint="eastAsia" w:ascii="方正小标宋_GBK" w:hAnsi="宋体" w:eastAsia="方正小标宋_GBK" w:cs="宋体"/>
          <w:color w:val="000000"/>
          <w:kern w:val="0"/>
          <w:sz w:val="44"/>
          <w:szCs w:val="44"/>
        </w:rPr>
        <w:t>通运营管理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olor w:val="000000"/>
          <w:sz w:val="44"/>
        </w:rPr>
      </w:pPr>
      <w:r>
        <w:rPr>
          <w:rFonts w:hint="eastAsia" w:ascii="方正小标宋_GBK" w:hAnsi="宋体" w:eastAsia="方正小标宋_GBK" w:cs="宋体"/>
          <w:color w:val="000000"/>
          <w:kern w:val="0"/>
          <w:sz w:val="44"/>
          <w:szCs w:val="44"/>
        </w:rPr>
        <w:t>行政处罚裁量基准</w:t>
      </w:r>
      <w:r>
        <w:rPr>
          <w:rFonts w:hint="eastAsia" w:ascii="方正小标宋_GBK" w:hAnsi="宋体" w:eastAsia="方正小标宋_GBK"/>
          <w:color w:val="000000"/>
          <w:sz w:val="44"/>
        </w:rPr>
        <w:t>的通知</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渝交法〔2021〕14号</w:t>
      </w: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color w:val="000000"/>
          <w:spacing w:val="-6"/>
          <w:kern w:val="0"/>
          <w:sz w:val="32"/>
          <w:szCs w:val="32"/>
        </w:rPr>
      </w:pPr>
      <w:r>
        <w:rPr>
          <w:rFonts w:hint="eastAsia" w:ascii="方正仿宋_GBK" w:hAnsi="方正仿宋_GBK" w:eastAsia="方正仿宋_GBK" w:cs="方正仿宋_GBK"/>
          <w:color w:val="000000"/>
          <w:kern w:val="0"/>
          <w:sz w:val="32"/>
          <w:szCs w:val="32"/>
        </w:rPr>
        <w:t>市</w:t>
      </w:r>
      <w:r>
        <w:rPr>
          <w:rFonts w:hint="eastAsia" w:ascii="方正仿宋_GBK" w:hAnsi="方正仿宋_GBK" w:eastAsia="方正仿宋_GBK" w:cs="方正仿宋_GBK"/>
          <w:color w:val="000000"/>
          <w:spacing w:val="-6"/>
          <w:kern w:val="0"/>
          <w:sz w:val="32"/>
          <w:szCs w:val="32"/>
        </w:rPr>
        <w:t>道路运输中心，市交通运输综合行政执法总队</w:t>
      </w:r>
      <w:r>
        <w:rPr>
          <w:rFonts w:hint="eastAsia" w:ascii="方正仿宋_GBK" w:hAnsi="方正仿宋_GBK" w:eastAsia="方正仿宋_GBK" w:cs="方正仿宋_GBK"/>
          <w:color w:val="000000"/>
          <w:spacing w:val="-6"/>
          <w:sz w:val="32"/>
          <w:szCs w:val="32"/>
        </w:rPr>
        <w:t>，局机关有关处室：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《重庆市轨道交通运营管理行政处罚裁量基准》已经市交通局2021年第2次局长办公会审议通过，现印发你们，请遵照执行</w:t>
      </w:r>
      <w:r>
        <w:rPr>
          <w:rFonts w:hint="eastAsia" w:ascii="方正仿宋_GBK" w:hAnsi="方正仿宋_GBK" w:eastAsia="方正仿宋_GBK" w:cs="方正仿宋_GBK"/>
          <w:color w:val="000000"/>
          <w:kern w:val="0"/>
          <w:sz w:val="32"/>
          <w:szCs w:val="32"/>
        </w:rPr>
        <w:t>。《重庆市交通局关于印发〈重庆市交通行政处罚裁量基准（2019年修订版）〉的通知》（渝交法〔2019〕30号</w:t>
      </w:r>
      <w:r>
        <w:rPr>
          <w:rFonts w:hint="eastAsia" w:ascii="方正仿宋_GBK" w:hAnsi="方正仿宋_GBK" w:eastAsia="方正仿宋_GBK" w:cs="方正仿宋_GBK"/>
          <w:color w:val="000000"/>
          <w:sz w:val="32"/>
          <w:szCs w:val="32"/>
        </w:rPr>
        <w:t>）中的“重庆市交通行政处罚裁量基准（轨道运营管理部分）”</w:t>
      </w:r>
      <w:r>
        <w:rPr>
          <w:rFonts w:hint="eastAsia" w:ascii="方正仿宋_GBK" w:hAnsi="方正仿宋_GBK" w:eastAsia="方正仿宋_GBK" w:cs="方正仿宋_GBK"/>
          <w:color w:val="000000"/>
          <w:kern w:val="0"/>
          <w:sz w:val="32"/>
          <w:szCs w:val="32"/>
        </w:rPr>
        <w:t>同时废止。本裁量基准与法律法规规章以及上级文件要求不一致的，应当执行法律法规规章及上级文件。</w:t>
      </w: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autoSpaceDE/>
        <w:autoSpaceDN/>
        <w:bidi w:val="0"/>
        <w:adjustRightInd/>
        <w:spacing w:line="600" w:lineRule="exact"/>
        <w:ind w:firstLine="5120" w:firstLineChars="1600"/>
        <w:jc w:val="righ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重庆市交通局</w:t>
      </w: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600" w:lineRule="exact"/>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2021年3月25日</w:t>
      </w: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重庆市轨道交通运营管理行政处罚裁量基准</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989"/>
        <w:gridCol w:w="1804"/>
        <w:gridCol w:w="1565"/>
        <w:gridCol w:w="980"/>
        <w:gridCol w:w="2736"/>
        <w:gridCol w:w="186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5" w:type="pct"/>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序号</w:t>
            </w:r>
          </w:p>
        </w:tc>
        <w:tc>
          <w:tcPr>
            <w:tcW w:w="751" w:type="pct"/>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行为</w:t>
            </w:r>
          </w:p>
        </w:tc>
        <w:tc>
          <w:tcPr>
            <w:tcW w:w="681" w:type="pct"/>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违法依据</w:t>
            </w:r>
          </w:p>
        </w:tc>
        <w:tc>
          <w:tcPr>
            <w:tcW w:w="591" w:type="pct"/>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处罚依据</w:t>
            </w:r>
          </w:p>
        </w:tc>
        <w:tc>
          <w:tcPr>
            <w:tcW w:w="370" w:type="pct"/>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违法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情节</w:t>
            </w:r>
          </w:p>
        </w:tc>
        <w:tc>
          <w:tcPr>
            <w:tcW w:w="1033" w:type="pct"/>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裁量事实</w:t>
            </w:r>
          </w:p>
        </w:tc>
        <w:tc>
          <w:tcPr>
            <w:tcW w:w="1339" w:type="pct"/>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b/>
                <w:bCs/>
                <w:color w:val="000000"/>
                <w:kern w:val="0"/>
                <w:sz w:val="18"/>
                <w:szCs w:val="18"/>
              </w:rPr>
            </w:pPr>
          </w:p>
        </w:tc>
        <w:tc>
          <w:tcPr>
            <w:tcW w:w="75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b/>
                <w:bCs/>
                <w:color w:val="000000"/>
                <w:kern w:val="0"/>
                <w:sz w:val="18"/>
                <w:szCs w:val="18"/>
              </w:rPr>
            </w:pPr>
          </w:p>
        </w:tc>
        <w:tc>
          <w:tcPr>
            <w:tcW w:w="68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b/>
                <w:bCs/>
                <w:color w:val="000000"/>
                <w:kern w:val="0"/>
                <w:sz w:val="18"/>
                <w:szCs w:val="18"/>
              </w:rPr>
            </w:pPr>
          </w:p>
        </w:tc>
        <w:tc>
          <w:tcPr>
            <w:tcW w:w="59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b/>
                <w:bCs/>
                <w:color w:val="000000"/>
                <w:kern w:val="0"/>
                <w:sz w:val="18"/>
                <w:szCs w:val="18"/>
              </w:rPr>
            </w:pPr>
          </w:p>
        </w:tc>
        <w:tc>
          <w:tcPr>
            <w:tcW w:w="3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b/>
                <w:bCs/>
                <w:color w:val="000000"/>
                <w:kern w:val="0"/>
                <w:sz w:val="18"/>
                <w:szCs w:val="18"/>
              </w:rPr>
            </w:pPr>
          </w:p>
        </w:tc>
        <w:tc>
          <w:tcPr>
            <w:tcW w:w="10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b/>
                <w:bCs/>
                <w:color w:val="000000"/>
                <w:kern w:val="0"/>
                <w:sz w:val="18"/>
                <w:szCs w:val="18"/>
              </w:rPr>
            </w:pPr>
          </w:p>
        </w:tc>
        <w:tc>
          <w:tcPr>
            <w:tcW w:w="70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kern w:val="0"/>
                <w:sz w:val="24"/>
                <w:szCs w:val="24"/>
              </w:rPr>
            </w:pPr>
            <w:r>
              <w:rPr>
                <w:rFonts w:hint="eastAsia" w:ascii="方正黑体_GBK" w:hAnsi="宋体" w:eastAsia="方正黑体_GBK" w:cs="宋体"/>
                <w:bCs/>
                <w:color w:val="000000"/>
                <w:kern w:val="0"/>
                <w:sz w:val="24"/>
                <w:szCs w:val="24"/>
              </w:rPr>
              <w:t>轨道运营单位或单位</w:t>
            </w:r>
          </w:p>
        </w:tc>
        <w:tc>
          <w:tcPr>
            <w:tcW w:w="6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宋体" w:eastAsia="方正黑体_GBK" w:cs="宋体"/>
                <w:bCs/>
                <w:color w:val="000000"/>
                <w:spacing w:val="-20"/>
                <w:kern w:val="0"/>
                <w:sz w:val="24"/>
                <w:szCs w:val="24"/>
              </w:rPr>
            </w:pPr>
            <w:r>
              <w:rPr>
                <w:rFonts w:hint="eastAsia" w:ascii="方正黑体_GBK" w:hAnsi="宋体" w:eastAsia="方正黑体_GBK" w:cs="宋体"/>
                <w:bCs/>
                <w:color w:val="000000"/>
                <w:spacing w:val="-20"/>
                <w:kern w:val="0"/>
                <w:sz w:val="24"/>
                <w:szCs w:val="24"/>
              </w:rPr>
              <w:t>运营单位主要负责人或个人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ascii="宋体" w:hAnsi="宋体" w:cs="宋体"/>
                <w:bCs/>
                <w:color w:val="000000"/>
                <w:kern w:val="0"/>
                <w:sz w:val="18"/>
                <w:szCs w:val="18"/>
              </w:rPr>
              <w:t>未设置导向标志和服务标志的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《重庆市轨道交通条例》</w:t>
            </w:r>
            <w:r>
              <w:rPr>
                <w:rFonts w:ascii="宋体" w:hAnsi="宋体" w:cs="宋体"/>
                <w:bCs/>
                <w:color w:val="000000"/>
                <w:kern w:val="0"/>
                <w:sz w:val="18"/>
                <w:szCs w:val="18"/>
              </w:rPr>
              <w:t>第二十九条</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《重庆市轨道交通条例》</w:t>
            </w:r>
            <w:r>
              <w:rPr>
                <w:rFonts w:ascii="宋体" w:hAnsi="宋体" w:cs="宋体"/>
                <w:bCs/>
                <w:color w:val="000000"/>
                <w:kern w:val="0"/>
                <w:sz w:val="18"/>
                <w:szCs w:val="18"/>
              </w:rPr>
              <w:t>第五十三条</w:t>
            </w:r>
            <w:r>
              <w:rPr>
                <w:rFonts w:hint="eastAsia" w:ascii="宋体" w:hAnsi="宋体" w:cs="宋体"/>
                <w:bCs/>
                <w:color w:val="000000"/>
                <w:kern w:val="0"/>
                <w:sz w:val="18"/>
                <w:szCs w:val="18"/>
              </w:rPr>
              <w:t>第一项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未造成影响，未及时整改的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造成拥堵等不良后果，经整改消除的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造成影响未采取有效措施整改的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ascii="宋体" w:hAnsi="宋体" w:cs="宋体"/>
                <w:bCs/>
                <w:color w:val="000000"/>
                <w:kern w:val="0"/>
                <w:sz w:val="18"/>
                <w:szCs w:val="18"/>
              </w:rPr>
              <w:t>在暂时停止运营时，未及时向社会公告并报告的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《重庆市轨道交通条例》</w:t>
            </w:r>
            <w:r>
              <w:rPr>
                <w:rFonts w:ascii="宋体" w:hAnsi="宋体" w:cs="宋体"/>
                <w:bCs/>
                <w:color w:val="000000"/>
                <w:kern w:val="0"/>
                <w:sz w:val="18"/>
                <w:szCs w:val="18"/>
              </w:rPr>
              <w:t>第</w:t>
            </w:r>
            <w:r>
              <w:rPr>
                <w:rFonts w:hint="eastAsia" w:ascii="宋体" w:hAnsi="宋体" w:cs="宋体"/>
                <w:bCs/>
                <w:color w:val="000000"/>
                <w:kern w:val="0"/>
                <w:sz w:val="18"/>
                <w:szCs w:val="18"/>
              </w:rPr>
              <w:t>三</w:t>
            </w:r>
            <w:r>
              <w:rPr>
                <w:rFonts w:ascii="宋体" w:hAnsi="宋体" w:cs="宋体"/>
                <w:bCs/>
                <w:color w:val="000000"/>
                <w:kern w:val="0"/>
                <w:sz w:val="18"/>
                <w:szCs w:val="18"/>
              </w:rPr>
              <w:t>十九条</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《重庆市轨道交通条例》</w:t>
            </w:r>
            <w:r>
              <w:rPr>
                <w:rFonts w:ascii="宋体" w:hAnsi="宋体" w:cs="宋体"/>
                <w:bCs/>
                <w:color w:val="000000"/>
                <w:kern w:val="0"/>
                <w:sz w:val="18"/>
                <w:szCs w:val="18"/>
              </w:rPr>
              <w:t>第五十三条</w:t>
            </w:r>
            <w:r>
              <w:rPr>
                <w:rFonts w:hint="eastAsia" w:ascii="宋体" w:hAnsi="宋体" w:cs="宋体"/>
                <w:bCs/>
                <w:color w:val="000000"/>
                <w:kern w:val="0"/>
                <w:sz w:val="18"/>
                <w:szCs w:val="18"/>
              </w:rPr>
              <w:t>第二项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未造成影响，未及时整改的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造成一定影响，经整改消除的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造成影响未采取有效措施整改的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ascii="宋体" w:hAnsi="宋体" w:cs="宋体"/>
                <w:bCs/>
                <w:color w:val="000000"/>
                <w:kern w:val="0"/>
                <w:sz w:val="18"/>
                <w:szCs w:val="18"/>
              </w:rPr>
              <w:t>发生自然灾害、事故灾难、公共卫生事件、社会安全事件和其他突发事件时，未按照应急预案处理的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《重庆市轨道交通条例》</w:t>
            </w:r>
            <w:r>
              <w:rPr>
                <w:rFonts w:ascii="宋体" w:hAnsi="宋体" w:cs="宋体"/>
                <w:bCs/>
                <w:color w:val="000000"/>
                <w:kern w:val="0"/>
                <w:sz w:val="18"/>
                <w:szCs w:val="18"/>
              </w:rPr>
              <w:t>第</w:t>
            </w:r>
            <w:r>
              <w:rPr>
                <w:rFonts w:hint="eastAsia" w:ascii="宋体" w:hAnsi="宋体" w:cs="宋体"/>
                <w:bCs/>
                <w:color w:val="000000"/>
                <w:kern w:val="0"/>
                <w:sz w:val="18"/>
                <w:szCs w:val="18"/>
              </w:rPr>
              <w:t>四十</w:t>
            </w:r>
            <w:r>
              <w:rPr>
                <w:rFonts w:ascii="宋体" w:hAnsi="宋体" w:cs="宋体"/>
                <w:bCs/>
                <w:color w:val="000000"/>
                <w:kern w:val="0"/>
                <w:sz w:val="18"/>
                <w:szCs w:val="18"/>
              </w:rPr>
              <w:t>条</w:t>
            </w:r>
            <w:r>
              <w:rPr>
                <w:rFonts w:hint="eastAsia" w:ascii="宋体" w:hAnsi="宋体" w:cs="宋体"/>
                <w:bCs/>
                <w:color w:val="000000"/>
                <w:kern w:val="0"/>
                <w:sz w:val="18"/>
                <w:szCs w:val="18"/>
              </w:rPr>
              <w:t>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《重庆市轨道交通条例》</w:t>
            </w:r>
            <w:r>
              <w:rPr>
                <w:rFonts w:ascii="宋体" w:hAnsi="宋体" w:cs="宋体"/>
                <w:bCs/>
                <w:color w:val="000000"/>
                <w:kern w:val="0"/>
                <w:sz w:val="18"/>
                <w:szCs w:val="18"/>
              </w:rPr>
              <w:t>第五十三条</w:t>
            </w:r>
            <w:r>
              <w:rPr>
                <w:rFonts w:hint="eastAsia" w:ascii="宋体" w:hAnsi="宋体" w:cs="宋体"/>
                <w:bCs/>
                <w:color w:val="000000"/>
                <w:kern w:val="0"/>
                <w:sz w:val="18"/>
                <w:szCs w:val="18"/>
              </w:rPr>
              <w:t>第三项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造成影响，经整改消除的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造成影响未采取有效措施整改的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城市轨道交通工程项目（含甩项工程）未经安全评估投入运营的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《城市轨道交通运营管理规定》第十条、第十一条</w:t>
            </w:r>
          </w:p>
        </w:tc>
        <w:tc>
          <w:tcPr>
            <w:tcW w:w="59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《城市轨道交通运营管理规定》第四十八条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未造成不良影响的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处20000元的罚款，</w:t>
            </w:r>
            <w:r>
              <w:rPr>
                <w:color w:val="000000"/>
                <w:sz w:val="18"/>
                <w:szCs w:val="18"/>
              </w:rPr>
              <w:t>有严重安全隐患的</w:t>
            </w:r>
            <w:r>
              <w:rPr>
                <w:rFonts w:hint="eastAsia"/>
                <w:color w:val="000000"/>
                <w:sz w:val="18"/>
                <w:szCs w:val="18"/>
              </w:rPr>
              <w:t>，责令</w:t>
            </w:r>
            <w:r>
              <w:rPr>
                <w:color w:val="000000"/>
                <w:sz w:val="18"/>
                <w:szCs w:val="18"/>
              </w:rPr>
              <w:t>暂停运营</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造成不良影响的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r>
              <w:rPr>
                <w:color w:val="000000"/>
                <w:sz w:val="18"/>
                <w:szCs w:val="18"/>
              </w:rPr>
              <w:t>有严重安全隐患的</w:t>
            </w:r>
            <w:r>
              <w:rPr>
                <w:rFonts w:hint="eastAsia"/>
                <w:color w:val="000000"/>
                <w:sz w:val="18"/>
                <w:szCs w:val="18"/>
              </w:rPr>
              <w:t>，责令</w:t>
            </w:r>
            <w:r>
              <w:rPr>
                <w:color w:val="000000"/>
                <w:sz w:val="18"/>
                <w:szCs w:val="18"/>
              </w:rPr>
              <w:t>暂停运营</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5</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未全程参与试运行，经责令限期改正，逾期未改正的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《城市轨道交通运营管理规定》第九条第一款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《城市轨道交通运营管理规定》第四十九条第一项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未按照相关标准对从业人员进行技能培训教育，经责令限期改正，逾期未改正的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《城市轨道交通运营管理规定》第十三条第一款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《城市轨道交通运营管理规定》第四十九条第二项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7</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列车驾驶员未按照法律法规的规定取得职业准入资格，经责令限期改正，逾期未改正的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《城市轨道交通运营管理规定》第十三条第二款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《城市轨道交通运营管理规定》第四十九条第三项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8</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列车驾驶员、行车调度员、行车值班员、信号工、通信工等重点岗位从业人员未经考核上岗，经责令限期改正，逾期未改正的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《城市轨道交通运营管理规定》第十三条第一款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《城市轨道交通运营管理规定》第四十九条第四项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9</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未按照有关规定完善风险分级管控和隐患排查治理双重预防制度，经责令限期改正，逾期未改正的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《城市轨道交通运营管理规定》第十四条第一款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《城市轨道交通运营管理规定》第四十九条第五项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10</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未建立风险数据库和隐患排查手册，经责令限期改正，逾期未改正的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《城市轨道交通运营管理规定》第十四条第一款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《城市轨道交通运营管理规定》第四十九条第六项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11</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未按要求报告运营安全风险隐患整改情况，经责令限期改正，逾期未改正的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《城市轨道交通运营管理规定》第十四条第一款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《城市轨道交通运营管理规定》第四十九条第七项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12</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未建立设施设备检查、检测评估、养护维修、更新改造制度和技术管理体系，经责令限期改正，逾期未改正的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《城市轨道交通运营管理规定》第十五条第一款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《城市轨道交通运营管理规定》第四十九条第八项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13</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未对设施设备定期检查、检测评估和及时养护维修、更新改造，经责令限期改正，逾期未改正的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《城市轨道交通运营管理规定》第十五条第二款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《城市轨道交通运营管理规定》第四十九条第九项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14</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未按照有关规定建立运营突发事件应急预案体系，经责令限期改正，逾期未改正的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《城市轨道交通运营管理规定》第四十条第二款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《城市轨道交通运营管理规定》第四十九条第十项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15</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储备的应急物资不满足需要，未配备专业应急救援装备，或者未建立应急救援队伍、配齐应急人员，经责令限期改正，逾期未改正的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《城市轨道交通运营管理规定》第四十一条</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《城市轨道交通运营管理规定》第四十九条第十一项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16</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未按时组织运营突发事件应急演练，经责令限期改正，逾期未改正的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《城市轨道交通运营管理规定》第四十二条第二款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《城市轨道交通运营管理规定》第四十九条第十二项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17</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未按照规定上报城市轨道交通运营相关信息，经责令限期改正，逾期未改正的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《城市轨道交通运营管理规定》第十八条</w:t>
            </w:r>
          </w:p>
        </w:tc>
        <w:tc>
          <w:tcPr>
            <w:tcW w:w="59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18</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未按照规定上报城市轨道交通运营安全重大故障和事故的，经责令限期改正，逾期未改正的</w:t>
            </w:r>
          </w:p>
        </w:tc>
        <w:tc>
          <w:tcPr>
            <w:tcW w:w="68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《城市轨道交通运营管理规定》第四十六条</w:t>
            </w:r>
          </w:p>
        </w:tc>
        <w:tc>
          <w:tcPr>
            <w:tcW w:w="591" w:type="pct"/>
            <w:vMerge w:val="restart"/>
            <w:noWrap w:val="0"/>
            <w:vAlign w:val="center"/>
          </w:tcPr>
          <w:p>
            <w:pPr>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19</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未向社会公布运营服务质量承诺或者定期报告履行情况，经责令限期改正，逾期未改正的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《城市轨道交通运营管理规定》第十九条第二款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《城市轨道交通运营管理规定》第五十一条第一项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处1000元的罚款</w:t>
            </w:r>
          </w:p>
        </w:tc>
        <w:tc>
          <w:tcPr>
            <w:tcW w:w="635" w:type="pct"/>
            <w:noWrap w:val="0"/>
            <w:vAlign w:val="center"/>
          </w:tcPr>
          <w:p>
            <w:pPr>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20</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运行图未报城市轨道交通运营主管部门备案或者调整运行图严重影响服务质量的，未向城市轨道交通运营主管部门说明理由，经责令限期改正，逾期未改正的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《城市轨道交通运营管理规定》第二十条</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《城市轨道交通运营管理规定》第五十一条第二项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处1000元的罚款</w:t>
            </w:r>
          </w:p>
        </w:tc>
        <w:tc>
          <w:tcPr>
            <w:tcW w:w="635" w:type="pct"/>
            <w:noWrap w:val="0"/>
            <w:vAlign w:val="center"/>
          </w:tcPr>
          <w:p>
            <w:pPr>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21</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未按规定向乘客提供运营服务和安全应急等信息，经责令限期改正，逾期未改正的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《城市轨道交通运营管理规定》第二十一条</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《城市轨道交通运营管理规定》第五十一条第三项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处1000元的罚款</w:t>
            </w:r>
          </w:p>
        </w:tc>
        <w:tc>
          <w:tcPr>
            <w:tcW w:w="635" w:type="pct"/>
            <w:noWrap w:val="0"/>
            <w:vAlign w:val="center"/>
          </w:tcPr>
          <w:p>
            <w:pPr>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22</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未建立投诉受理制度，或者未及时处理乘客投诉并将处理结果告知乘客，经责令限期改正，逾期未改正的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《城市轨道交通运营管理规定》第二十五条</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《城市轨道交通运营管理规定》第五十一条第四项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处1000元的罚款</w:t>
            </w:r>
          </w:p>
        </w:tc>
        <w:tc>
          <w:tcPr>
            <w:tcW w:w="635" w:type="pct"/>
            <w:noWrap w:val="0"/>
            <w:vAlign w:val="center"/>
          </w:tcPr>
          <w:p>
            <w:pPr>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23</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采取的限流、甩站、封站、暂停运营等措施，未及时告知公众或者封站、暂停运营等措施未向城市轨道交通运营主管部门报告，经责令限期改正，逾期未改正的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《城市轨道交通运营管理规定》第四十五条第三款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《城市轨道交通运营管理规定》第五十一条第五项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处1000元的罚款</w:t>
            </w:r>
          </w:p>
        </w:tc>
        <w:tc>
          <w:tcPr>
            <w:tcW w:w="635" w:type="pct"/>
            <w:noWrap w:val="0"/>
            <w:vAlign w:val="center"/>
          </w:tcPr>
          <w:p>
            <w:pPr>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24</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高架线路桥下的空间使用可能危害运营安全，经责令限期改正，逾期未改正的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《城市轨道交通运营管理规定》第三十二条第一款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《城市轨道交通运营管理规定》第五十二条第一项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25</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地面、高架线路沿线建（构）筑物或者植物妨碍行车瞭望、侵入限界，经责令限期改正，逾期未改正的</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《城市轨道交通运营管理规定》第三十二条第二款</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《城市轨道交通运营管理规定》第五十二条第二项</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未造成影响或后果的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造成影响或发生事故，采取有效措施整改的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造成重大事故或恶劣影响的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26</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损坏隧道、轨道、路基、高架、车站、通风亭、冷却塔、变电站、管线、护栏护网等设施</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《城市轨道交通运营管理规定》第三十三条第一项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造成轻微影响，不配合修复的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造成明显损坏，影响使用的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造成严重损坏的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因损坏造成重大事故或重大影响的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27</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损坏车辆、机电、电缆、自动售检票等设备，干扰通信信号、视频监控设备等系统</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《城市轨道交通运营管理规定》第三十三条第二项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造成轻微影响，不配合修复的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造成明显损坏，影响使用的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造成严重损坏的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因损坏造成重大事故或重大影响的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28</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擅自在高架桥梁及附属结构上钻孔打眼，搭设电线或者其他承力绳索，设置附着物</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《城市轨道交通运营管理规定》第三十三条第三项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造成轻微影响，不配合修复的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造成明显损坏，影响使用的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造成严重损坏的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因损坏造成重大事故或重大影响的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29</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损坏、移动、遮盖安全标志、监测设施以及安全防护设备</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《城市轨道交通运营管理规定》第三十三条第四项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造成轻微影响，不配合修复的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造成明显损坏，影响使用的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造成严重损坏的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因损坏造成重大事故或重大影响的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30</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拦截列车</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《城市轨道交通运营管理规定》第三十四条第一项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未影响正常运行的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影响单趟次正常运行的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影响线路正常运行的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影响路网正常运行的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31</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强行上下车</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《城市轨道交通运营管理规定》第三十四条第二项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未影响正常运行的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影响单趟次正常运行的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影响线路正常运行的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影响路网正常运行的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32</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擅自进入隧道、轨道或者其他禁入区域</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《城市轨道交通运营管理规定》第三十四条第三项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未影响正常运行的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影响单趟次正常运行的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影响线路正常运行的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影响路网正常运行的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33</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攀爬或者跨越围栏、护栏、护网、站台门等</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《城市轨道交通运营管理规定》第三十四条第四项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未影响正常运行的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影响单趟次正常运行的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影响线路正常运行的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影响路网正常运行的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34</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擅自操作有警示标志的按钮和开关装置，在非紧急状态下动用紧急或者安全装置</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《城市轨道交通运营管理规定》第三十四条第五项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未影响正常运行的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影响单趟次正常运行的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影响线路正常运行的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影响路网正常运行的</w:t>
            </w:r>
          </w:p>
        </w:tc>
        <w:tc>
          <w:tcPr>
            <w:tcW w:w="704" w:type="pct"/>
            <w:noWrap w:val="0"/>
            <w:vAlign w:val="center"/>
          </w:tcPr>
          <w:p>
            <w:pPr>
              <w:widowControl/>
              <w:spacing w:line="220" w:lineRule="exact"/>
              <w:rPr>
                <w:rFonts w:ascii="宋体" w:hAnsi="宋体" w:cs="宋体"/>
                <w:bCs/>
                <w:color w:val="000000"/>
                <w:kern w:val="0"/>
                <w:sz w:val="18"/>
                <w:szCs w:val="18"/>
              </w:rPr>
            </w:pP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35</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在城市轨道交通车站出入口5米范围内停放车辆、乱设摊点等，妨碍乘客通行和救援疏散</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《城市轨道交通运营管理规定》第三十四条第六项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未造成拥堵等不良后果，并能及时整改的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责令改正后又违反的，但均未造成拥堵等不良后果的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造成通行拥堵或不便等不良后果的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造成严重后果或恶劣影响的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36</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在通风口、车站出入口50米范围内存放有毒、有害、易燃、易爆、放射性和腐蚀性等物品</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《城市轨道交通运营管理规定》第三十四条第七项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未造成不良后果，并能及时整改的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责令改正后又违反的，但均未造成不良后果的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造成不良后果或负面影响的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造成严重后果或恶劣影响的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37</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在出入口、通风亭、变电站、冷却塔周边躺卧、留宿、堆放和晾晒物品</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《城市轨道交通运营管理规定》第三十四条第八项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未造成不良后果，并能及时整改的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责令改正后又违反的，但均未造成不良后果的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造成不良后果或负面影响的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jc w:val="center"/>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造成严重后果或恶劣影响的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38</w:t>
            </w:r>
          </w:p>
        </w:tc>
        <w:tc>
          <w:tcPr>
            <w:tcW w:w="75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在地面或者高架线路两侧各100米范围内升放风筝、气球等低空飘浮物体和无人机等低空飞行器</w:t>
            </w:r>
          </w:p>
        </w:tc>
        <w:tc>
          <w:tcPr>
            <w:tcW w:w="68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《城市轨道交通运营管理规定》第三十四条第九项</w:t>
            </w:r>
          </w:p>
        </w:tc>
        <w:tc>
          <w:tcPr>
            <w:tcW w:w="591" w:type="pct"/>
            <w:vMerge w:val="restar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《城市轨道交通运营管理规定》第五十三条</w:t>
            </w: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轻微</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未造成不良后果，并能及时整改的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5" w:type="pct"/>
            <w:vMerge w:val="continue"/>
            <w:noWrap w:val="0"/>
            <w:vAlign w:val="center"/>
          </w:tcPr>
          <w:p>
            <w:pPr>
              <w:widowControl/>
              <w:spacing w:line="220" w:lineRule="exact"/>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一般</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责令改正后又违反的，但均未造成不良后果的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造成不良后果或负面影响的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可以处10000元的罚款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continue"/>
            <w:noWrap w:val="0"/>
            <w:vAlign w:val="center"/>
          </w:tcPr>
          <w:p>
            <w:pPr>
              <w:widowControl/>
              <w:spacing w:line="220" w:lineRule="exact"/>
              <w:rPr>
                <w:rFonts w:ascii="宋体" w:hAnsi="宋体" w:cs="宋体"/>
                <w:bCs/>
                <w:color w:val="000000"/>
                <w:kern w:val="0"/>
                <w:sz w:val="18"/>
                <w:szCs w:val="18"/>
              </w:rPr>
            </w:pPr>
          </w:p>
        </w:tc>
        <w:tc>
          <w:tcPr>
            <w:tcW w:w="751" w:type="pct"/>
            <w:vMerge w:val="continue"/>
            <w:noWrap w:val="0"/>
            <w:vAlign w:val="center"/>
          </w:tcPr>
          <w:p>
            <w:pPr>
              <w:widowControl/>
              <w:spacing w:line="220" w:lineRule="exact"/>
              <w:rPr>
                <w:rFonts w:ascii="宋体" w:hAnsi="宋体" w:cs="宋体"/>
                <w:bCs/>
                <w:color w:val="000000"/>
                <w:kern w:val="0"/>
                <w:sz w:val="18"/>
                <w:szCs w:val="18"/>
              </w:rPr>
            </w:pPr>
          </w:p>
        </w:tc>
        <w:tc>
          <w:tcPr>
            <w:tcW w:w="681" w:type="pct"/>
            <w:vMerge w:val="continue"/>
            <w:noWrap w:val="0"/>
            <w:vAlign w:val="center"/>
          </w:tcPr>
          <w:p>
            <w:pPr>
              <w:widowControl/>
              <w:spacing w:line="220" w:lineRule="exact"/>
              <w:rPr>
                <w:rFonts w:ascii="宋体" w:hAnsi="宋体" w:cs="宋体"/>
                <w:bCs/>
                <w:color w:val="000000"/>
                <w:kern w:val="0"/>
                <w:sz w:val="18"/>
                <w:szCs w:val="18"/>
              </w:rPr>
            </w:pPr>
          </w:p>
        </w:tc>
        <w:tc>
          <w:tcPr>
            <w:tcW w:w="591" w:type="pct"/>
            <w:vMerge w:val="continue"/>
            <w:noWrap w:val="0"/>
            <w:vAlign w:val="center"/>
          </w:tcPr>
          <w:p>
            <w:pPr>
              <w:widowControl/>
              <w:spacing w:line="220" w:lineRule="exact"/>
              <w:rPr>
                <w:rFonts w:ascii="宋体" w:hAnsi="宋体" w:cs="宋体"/>
                <w:bCs/>
                <w:color w:val="000000"/>
                <w:kern w:val="0"/>
                <w:sz w:val="18"/>
                <w:szCs w:val="18"/>
              </w:rPr>
            </w:pPr>
          </w:p>
        </w:tc>
        <w:tc>
          <w:tcPr>
            <w:tcW w:w="370"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特别严重</w:t>
            </w:r>
          </w:p>
        </w:tc>
        <w:tc>
          <w:tcPr>
            <w:tcW w:w="1033"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造成严重后果或恶劣影响的</w:t>
            </w:r>
          </w:p>
        </w:tc>
        <w:tc>
          <w:tcPr>
            <w:tcW w:w="704"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可以处30000元的罚款</w:t>
            </w:r>
          </w:p>
        </w:tc>
        <w:tc>
          <w:tcPr>
            <w:tcW w:w="635" w:type="pct"/>
            <w:noWrap w:val="0"/>
            <w:vAlign w:val="center"/>
          </w:tcPr>
          <w:p>
            <w:pPr>
              <w:widowControl/>
              <w:spacing w:line="220" w:lineRule="exact"/>
              <w:rPr>
                <w:rFonts w:ascii="宋体" w:hAnsi="宋体" w:cs="宋体"/>
                <w:bCs/>
                <w:color w:val="000000"/>
                <w:kern w:val="0"/>
                <w:sz w:val="18"/>
                <w:szCs w:val="18"/>
              </w:rPr>
            </w:pPr>
            <w:r>
              <w:rPr>
                <w:rFonts w:hint="eastAsia" w:ascii="宋体" w:hAnsi="宋体" w:cs="宋体"/>
                <w:bCs/>
                <w:color w:val="000000"/>
                <w:kern w:val="0"/>
                <w:sz w:val="18"/>
                <w:szCs w:val="18"/>
              </w:rPr>
              <w:t>可以处5000元的罚款</w:t>
            </w:r>
          </w:p>
        </w:tc>
      </w:tr>
    </w:tbl>
    <w:p>
      <w:pPr>
        <w:rPr>
          <w:rFonts w:hint="eastAsia"/>
          <w:lang w:eastAsia="zh-CN"/>
        </w:rPr>
      </w:pPr>
    </w:p>
    <w:sectPr>
      <w:pgSz w:w="16838" w:h="11906" w:orient="landscape"/>
      <w:pgMar w:top="1587" w:right="1962" w:bottom="1474" w:left="1848" w:header="510" w:footer="62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8C05DD"/>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E26684"/>
    <w:rsid w:val="4BC77339"/>
    <w:rsid w:val="4C9236C5"/>
    <w:rsid w:val="4E250A85"/>
    <w:rsid w:val="4FFD4925"/>
    <w:rsid w:val="505C172E"/>
    <w:rsid w:val="506405EA"/>
    <w:rsid w:val="510D1704"/>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 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6698</Words>
  <Characters>7425</Characters>
  <Lines>1</Lines>
  <Paragraphs>1</Paragraphs>
  <TotalTime>1</TotalTime>
  <ScaleCrop>false</ScaleCrop>
  <LinksUpToDate>false</LinksUpToDate>
  <CharactersWithSpaces>7458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3D9904FD828C4E66A5EB42F779EE885D</vt:lpwstr>
  </property>
</Properties>
</file>