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olor w:val="auto"/>
          <w:sz w:val="84"/>
          <w:szCs w:val="84"/>
          <w:highlight w:val="none"/>
        </w:rPr>
      </w:pPr>
    </w:p>
    <w:p>
      <w:pPr>
        <w:spacing w:line="1600" w:lineRule="exact"/>
        <w:jc w:val="center"/>
        <w:outlineLvl w:val="0"/>
        <w:rPr>
          <w:rFonts w:hint="eastAsia" w:ascii="方正黑体_GBK" w:eastAsia="方正黑体_GBK"/>
          <w:color w:val="auto"/>
          <w:sz w:val="84"/>
          <w:szCs w:val="84"/>
          <w:highlight w:val="none"/>
          <w:lang w:eastAsia="zh-CN"/>
        </w:rPr>
      </w:pPr>
      <w:r>
        <w:rPr>
          <w:rFonts w:hint="eastAsia" w:ascii="方正黑体_GBK" w:eastAsia="方正黑体_GBK"/>
          <w:color w:val="auto"/>
          <w:sz w:val="84"/>
          <w:szCs w:val="84"/>
          <w:highlight w:val="none"/>
        </w:rPr>
        <w:t>重庆市</w:t>
      </w:r>
      <w:r>
        <w:rPr>
          <w:rFonts w:hint="eastAsia" w:ascii="方正黑体_GBK" w:eastAsia="方正黑体_GBK"/>
          <w:color w:val="auto"/>
          <w:sz w:val="84"/>
          <w:szCs w:val="84"/>
          <w:highlight w:val="none"/>
          <w:lang w:eastAsia="zh-CN"/>
        </w:rPr>
        <w:t>乌江航道管理处</w:t>
      </w:r>
    </w:p>
    <w:p>
      <w:pPr>
        <w:spacing w:line="1600" w:lineRule="exact"/>
        <w:jc w:val="center"/>
        <w:outlineLvl w:val="0"/>
        <w:rPr>
          <w:rFonts w:hint="eastAsia" w:ascii="方正黑体_GBK" w:eastAsia="方正黑体_GBK"/>
          <w:color w:val="auto"/>
          <w:sz w:val="84"/>
          <w:szCs w:val="84"/>
          <w:highlight w:val="none"/>
        </w:rPr>
      </w:pPr>
      <w:r>
        <w:rPr>
          <w:rFonts w:hint="eastAsia" w:ascii="方正黑体_GBK" w:eastAsia="方正黑体_GBK"/>
          <w:color w:val="auto"/>
          <w:sz w:val="84"/>
          <w:szCs w:val="84"/>
          <w:highlight w:val="none"/>
        </w:rPr>
        <w:t>政府采购</w:t>
      </w:r>
    </w:p>
    <w:p>
      <w:pPr>
        <w:jc w:val="center"/>
        <w:rPr>
          <w:rFonts w:hint="eastAsia" w:ascii="宋体" w:hAnsi="宋体"/>
          <w:color w:val="auto"/>
          <w:sz w:val="84"/>
          <w:szCs w:val="84"/>
          <w:highlight w:val="none"/>
        </w:rPr>
      </w:pPr>
    </w:p>
    <w:p>
      <w:pPr>
        <w:spacing w:line="1600" w:lineRule="exact"/>
        <w:jc w:val="center"/>
        <w:outlineLvl w:val="0"/>
        <w:rPr>
          <w:rFonts w:hint="eastAsia" w:ascii="方正黑体_GBK" w:hAnsi="宋体" w:eastAsia="方正黑体_GBK"/>
          <w:color w:val="auto"/>
          <w:sz w:val="84"/>
          <w:szCs w:val="84"/>
          <w:highlight w:val="none"/>
        </w:rPr>
      </w:pPr>
      <w:r>
        <w:rPr>
          <w:rFonts w:hint="eastAsia" w:ascii="方正黑体_GBK" w:hAnsi="宋体" w:eastAsia="方正黑体_GBK"/>
          <w:color w:val="auto"/>
          <w:sz w:val="84"/>
          <w:szCs w:val="84"/>
          <w:highlight w:val="none"/>
        </w:rPr>
        <w:t>限额以下比价采购文件</w:t>
      </w:r>
    </w:p>
    <w:p>
      <w:pPr>
        <w:spacing w:line="700" w:lineRule="exact"/>
        <w:jc w:val="center"/>
        <w:rPr>
          <w:rFonts w:hint="eastAsia" w:ascii="黑体" w:eastAsia="黑体"/>
          <w:color w:val="auto"/>
          <w:sz w:val="32"/>
          <w:highlight w:val="none"/>
        </w:rPr>
      </w:pPr>
    </w:p>
    <w:p>
      <w:pPr>
        <w:spacing w:line="700" w:lineRule="exact"/>
        <w:jc w:val="center"/>
        <w:rPr>
          <w:rFonts w:hint="eastAsia" w:ascii="黑体" w:eastAsia="黑体"/>
          <w:color w:val="auto"/>
          <w:sz w:val="32"/>
          <w:highlight w:val="none"/>
        </w:rPr>
      </w:pPr>
    </w:p>
    <w:p>
      <w:pPr>
        <w:spacing w:line="700" w:lineRule="exact"/>
        <w:jc w:val="center"/>
        <w:rPr>
          <w:rFonts w:hint="eastAsia" w:ascii="黑体" w:eastAsia="黑体"/>
          <w:color w:val="auto"/>
          <w:sz w:val="32"/>
          <w:highlight w:val="none"/>
        </w:rPr>
      </w:pPr>
    </w:p>
    <w:p>
      <w:pPr>
        <w:spacing w:line="500" w:lineRule="exact"/>
        <w:ind w:firstLine="1440" w:firstLineChars="400"/>
        <w:jc w:val="left"/>
        <w:outlineLvl w:val="0"/>
        <w:rPr>
          <w:rFonts w:hint="default" w:ascii="方正小标宋_GBK" w:hAnsi="宋体" w:eastAsia="方正小标宋_GBK"/>
          <w:color w:val="auto"/>
          <w:sz w:val="36"/>
          <w:szCs w:val="36"/>
          <w:highlight w:val="none"/>
          <w:lang w:val="en-US" w:eastAsia="zh-CN"/>
        </w:rPr>
      </w:pPr>
      <w:r>
        <w:rPr>
          <w:rFonts w:hint="eastAsia" w:ascii="方正小标宋_GBK" w:hAnsi="宋体" w:eastAsia="方正小标宋_GBK"/>
          <w:color w:val="auto"/>
          <w:sz w:val="36"/>
          <w:szCs w:val="36"/>
          <w:highlight w:val="none"/>
        </w:rPr>
        <w:t>采购执行编号：WJ202</w:t>
      </w:r>
      <w:r>
        <w:rPr>
          <w:rFonts w:hint="eastAsia" w:ascii="方正小标宋_GBK" w:hAnsi="宋体" w:eastAsia="方正小标宋_GBK"/>
          <w:color w:val="auto"/>
          <w:sz w:val="36"/>
          <w:szCs w:val="36"/>
          <w:highlight w:val="none"/>
          <w:lang w:val="en-US" w:eastAsia="zh-CN"/>
        </w:rPr>
        <w:t>4</w:t>
      </w:r>
      <w:r>
        <w:rPr>
          <w:rFonts w:hint="eastAsia" w:ascii="方正小标宋_GBK" w:hAnsi="宋体" w:eastAsia="方正小标宋_GBK"/>
          <w:color w:val="auto"/>
          <w:sz w:val="36"/>
          <w:szCs w:val="36"/>
          <w:highlight w:val="none"/>
        </w:rPr>
        <w:t>0</w:t>
      </w:r>
      <w:r>
        <w:rPr>
          <w:rFonts w:hint="eastAsia" w:ascii="方正小标宋_GBK" w:hAnsi="宋体" w:eastAsia="方正小标宋_GBK"/>
          <w:color w:val="auto"/>
          <w:sz w:val="36"/>
          <w:szCs w:val="36"/>
          <w:highlight w:val="none"/>
          <w:lang w:val="en-US" w:eastAsia="zh-CN"/>
        </w:rPr>
        <w:t>11</w:t>
      </w:r>
    </w:p>
    <w:p>
      <w:pPr>
        <w:spacing w:line="500" w:lineRule="exact"/>
        <w:ind w:left="3234" w:leftChars="512" w:hanging="1800" w:hangingChars="500"/>
        <w:jc w:val="left"/>
        <w:outlineLvl w:val="0"/>
        <w:rPr>
          <w:rFonts w:hint="eastAsia" w:ascii="方正小标宋_GBK" w:hAnsi="宋体" w:eastAsia="方正小标宋_GBK"/>
          <w:color w:val="auto"/>
          <w:sz w:val="36"/>
          <w:szCs w:val="36"/>
          <w:highlight w:val="none"/>
          <w:lang w:eastAsia="zh-CN"/>
        </w:rPr>
      </w:pPr>
      <w:r>
        <w:rPr>
          <w:rFonts w:hint="eastAsia" w:ascii="方正小标宋_GBK" w:hAnsi="宋体" w:eastAsia="方正小标宋_GBK"/>
          <w:color w:val="auto"/>
          <w:sz w:val="36"/>
          <w:szCs w:val="36"/>
          <w:highlight w:val="none"/>
        </w:rPr>
        <w:t>项目名称</w:t>
      </w:r>
      <w:r>
        <w:rPr>
          <w:rFonts w:hint="eastAsia" w:ascii="方正小标宋_GBK" w:hAnsi="宋体" w:eastAsia="方正小标宋_GBK"/>
          <w:color w:val="auto"/>
          <w:sz w:val="36"/>
          <w:szCs w:val="36"/>
          <w:highlight w:val="none"/>
          <w:lang w:eastAsia="zh-CN"/>
        </w:rPr>
        <w:t>：乌江杨家堡、倒杠碛滩航道维护性疏浚（第二次）</w:t>
      </w:r>
    </w:p>
    <w:p>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采购人：重庆市乌江航道管理处</w:t>
      </w:r>
    </w:p>
    <w:p>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采购代理机构：重庆华大工程管理有限公司</w:t>
      </w:r>
    </w:p>
    <w:p>
      <w:pPr>
        <w:spacing w:line="500" w:lineRule="exact"/>
        <w:outlineLvl w:val="0"/>
        <w:rPr>
          <w:rFonts w:hint="eastAsia" w:ascii="方正小标宋_GBK" w:eastAsia="方正小标宋_GBK"/>
          <w:color w:val="auto"/>
          <w:sz w:val="36"/>
          <w:szCs w:val="36"/>
          <w:highlight w:val="none"/>
        </w:rPr>
      </w:pPr>
    </w:p>
    <w:p>
      <w:pPr>
        <w:spacing w:line="500" w:lineRule="exact"/>
        <w:outlineLvl w:val="0"/>
        <w:rPr>
          <w:rFonts w:hint="eastAsia" w:ascii="方正小标宋_GBK" w:eastAsia="方正小标宋_GBK"/>
          <w:color w:val="auto"/>
          <w:sz w:val="36"/>
          <w:szCs w:val="36"/>
          <w:highlight w:val="none"/>
        </w:rPr>
      </w:pPr>
    </w:p>
    <w:p>
      <w:pPr>
        <w:spacing w:line="720" w:lineRule="exact"/>
        <w:jc w:val="center"/>
        <w:outlineLvl w:val="0"/>
        <w:rPr>
          <w:rFonts w:hint="eastAsia" w:ascii="方正黑体_GBK" w:hAnsi="宋体" w:eastAsia="方正黑体_GBK"/>
          <w:color w:val="auto"/>
          <w:sz w:val="48"/>
          <w:szCs w:val="32"/>
          <w:highlight w:val="none"/>
        </w:rPr>
      </w:pPr>
      <w:r>
        <w:rPr>
          <w:rFonts w:hint="eastAsia" w:ascii="方正小标宋_GBK" w:hAnsi="宋体" w:eastAsia="方正小标宋_GBK"/>
          <w:color w:val="auto"/>
          <w:sz w:val="36"/>
          <w:szCs w:val="36"/>
          <w:highlight w:val="none"/>
        </w:rPr>
        <w:t>二〇二</w:t>
      </w:r>
      <w:r>
        <w:rPr>
          <w:rFonts w:hint="eastAsia" w:ascii="方正小标宋_GBK" w:hAnsi="宋体" w:eastAsia="方正小标宋_GBK"/>
          <w:color w:val="auto"/>
          <w:sz w:val="36"/>
          <w:szCs w:val="36"/>
          <w:highlight w:val="none"/>
          <w:lang w:eastAsia="zh-CN"/>
        </w:rPr>
        <w:t>四</w:t>
      </w:r>
      <w:r>
        <w:rPr>
          <w:rFonts w:hint="eastAsia" w:ascii="方正小标宋_GBK" w:hAnsi="宋体" w:eastAsia="方正小标宋_GBK"/>
          <w:color w:val="auto"/>
          <w:sz w:val="36"/>
          <w:szCs w:val="36"/>
          <w:highlight w:val="none"/>
        </w:rPr>
        <w:t>年</w:t>
      </w:r>
      <w:r>
        <w:rPr>
          <w:rFonts w:hint="eastAsia" w:ascii="方正小标宋_GBK" w:hAnsi="宋体" w:eastAsia="方正小标宋_GBK"/>
          <w:color w:val="auto"/>
          <w:sz w:val="36"/>
          <w:szCs w:val="36"/>
          <w:highlight w:val="none"/>
          <w:lang w:eastAsia="zh-CN"/>
        </w:rPr>
        <w:t>九</w:t>
      </w:r>
      <w:r>
        <w:rPr>
          <w:rFonts w:hint="eastAsia" w:ascii="方正小标宋_GBK" w:hAnsi="宋体" w:eastAsia="方正小标宋_GBK"/>
          <w:color w:val="auto"/>
          <w:sz w:val="36"/>
          <w:szCs w:val="36"/>
          <w:highlight w:val="none"/>
        </w:rPr>
        <w:t>月</w:t>
      </w:r>
    </w:p>
    <w:p>
      <w:pPr>
        <w:spacing w:line="480" w:lineRule="exact"/>
        <w:outlineLvl w:val="0"/>
        <w:rPr>
          <w:rFonts w:ascii="方正黑体_GBK" w:eastAsia="方正黑体_GBK"/>
          <w:color w:val="auto"/>
          <w:sz w:val="44"/>
          <w:szCs w:val="28"/>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417" w:bottom="1134" w:left="1417" w:header="851" w:footer="992" w:gutter="0"/>
          <w:pgNumType w:fmt="numberInDash" w:start="1"/>
          <w:cols w:space="720" w:num="1"/>
          <w:titlePg/>
          <w:docGrid w:linePitch="381" w:charSpace="-5735"/>
        </w:sectPr>
      </w:pPr>
    </w:p>
    <w:p>
      <w:pPr>
        <w:pStyle w:val="4"/>
        <w:spacing w:before="0" w:after="0" w:line="360" w:lineRule="auto"/>
        <w:jc w:val="center"/>
        <w:rPr>
          <w:rFonts w:hint="eastAsia" w:ascii="方正小标宋_GBK" w:eastAsia="方正小标宋_GBK"/>
          <w:b w:val="0"/>
          <w:color w:val="auto"/>
          <w:sz w:val="36"/>
          <w:szCs w:val="30"/>
          <w:highlight w:val="none"/>
        </w:rPr>
      </w:pPr>
      <w:bookmarkStart w:id="0" w:name="_Toc24173"/>
      <w:bookmarkStart w:id="1" w:name="_Toc65660329"/>
      <w:bookmarkStart w:id="2" w:name="_Toc15726"/>
      <w:bookmarkStart w:id="3" w:name="_Toc12789052"/>
      <w:bookmarkStart w:id="4" w:name="_Toc106034769"/>
      <w:bookmarkStart w:id="5" w:name="_Toc24817"/>
      <w:bookmarkStart w:id="6" w:name="_Toc11641050"/>
      <w:r>
        <w:rPr>
          <w:rFonts w:hint="eastAsia" w:ascii="方正小标宋_GBK" w:eastAsia="方正小标宋_GBK"/>
          <w:b w:val="0"/>
          <w:color w:val="auto"/>
          <w:sz w:val="36"/>
          <w:szCs w:val="30"/>
          <w:highlight w:val="none"/>
        </w:rPr>
        <w:t xml:space="preserve">第一篇  </w:t>
      </w:r>
      <w:r>
        <w:rPr>
          <w:rFonts w:hint="eastAsia" w:ascii="方正小标宋_GBK" w:eastAsia="方正小标宋_GBK" w:cs="Arial"/>
          <w:b w:val="0"/>
          <w:color w:val="auto"/>
          <w:sz w:val="36"/>
          <w:highlight w:val="none"/>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重庆华大工程管理有限公司（以下简称：采购代理机构）接受重庆市乌江航道管理处（以下简称：采购人）的委托，对</w:t>
      </w:r>
      <w:r>
        <w:rPr>
          <w:rFonts w:hint="eastAsia" w:ascii="方正仿宋_GBK" w:hAnsi="宋体" w:eastAsia="方正仿宋_GBK"/>
          <w:color w:val="auto"/>
          <w:sz w:val="24"/>
          <w:szCs w:val="24"/>
          <w:highlight w:val="none"/>
          <w:lang w:eastAsia="zh-CN"/>
        </w:rPr>
        <w:t>乌江杨家堡、倒杠碛滩航道维护性疏浚（第二次）</w:t>
      </w:r>
      <w:r>
        <w:rPr>
          <w:rFonts w:hint="eastAsia" w:ascii="方正仿宋_GBK" w:hAnsi="宋体" w:eastAsia="方正仿宋_GBK"/>
          <w:color w:val="auto"/>
          <w:sz w:val="24"/>
          <w:szCs w:val="24"/>
          <w:highlight w:val="none"/>
        </w:rPr>
        <w:t>进行限额以下比价采购。欢迎有资格的供应商前来参加报价。</w:t>
      </w:r>
    </w:p>
    <w:p>
      <w:pPr>
        <w:pStyle w:val="4"/>
        <w:adjustRightInd w:val="0"/>
        <w:snapToGrid w:val="0"/>
        <w:spacing w:before="0" w:after="0" w:line="400" w:lineRule="exact"/>
        <w:ind w:firstLine="482" w:firstLineChars="200"/>
        <w:rPr>
          <w:rFonts w:ascii="方正仿宋_GBK" w:hAnsi="宋体" w:eastAsia="方正仿宋_GBK"/>
          <w:color w:val="auto"/>
          <w:sz w:val="24"/>
          <w:highlight w:val="none"/>
        </w:rPr>
      </w:pPr>
      <w:bookmarkStart w:id="7" w:name="_Toc7758"/>
      <w:bookmarkStart w:id="8" w:name="_Toc26091"/>
      <w:bookmarkStart w:id="9" w:name="_Toc313893526"/>
      <w:bookmarkStart w:id="10" w:name="_Toc317775175"/>
      <w:bookmarkStart w:id="11" w:name="_Toc65660330"/>
      <w:bookmarkStart w:id="12" w:name="_Toc106034770"/>
      <w:bookmarkStart w:id="13" w:name="_Toc18246"/>
      <w:r>
        <w:rPr>
          <w:rFonts w:hint="eastAsia" w:ascii="方正仿宋_GBK" w:hAnsi="宋体" w:eastAsia="方正仿宋_GBK"/>
          <w:color w:val="auto"/>
          <w:sz w:val="24"/>
          <w:highlight w:val="none"/>
        </w:rPr>
        <w:t>一、比价内容</w:t>
      </w:r>
      <w:bookmarkEnd w:id="7"/>
      <w:bookmarkEnd w:id="8"/>
      <w:bookmarkEnd w:id="9"/>
      <w:bookmarkEnd w:id="10"/>
      <w:bookmarkEnd w:id="11"/>
      <w:bookmarkEnd w:id="12"/>
      <w:bookmarkEnd w:id="13"/>
    </w:p>
    <w:tbl>
      <w:tblPr>
        <w:tblStyle w:val="59"/>
        <w:tblW w:w="44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1310"/>
        <w:gridCol w:w="195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58"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包号及名称</w:t>
            </w:r>
          </w:p>
        </w:tc>
        <w:tc>
          <w:tcPr>
            <w:tcW w:w="788"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w:t>
            </w:r>
            <w:r>
              <w:rPr>
                <w:rFonts w:hint="eastAsia" w:ascii="方正仿宋_GBK" w:hAnsi="宋体" w:eastAsia="方正仿宋_GBK" w:cs="宋体"/>
                <w:b/>
                <w:bCs/>
                <w:color w:val="auto"/>
                <w:kern w:val="0"/>
                <w:sz w:val="21"/>
                <w:szCs w:val="24"/>
                <w:highlight w:val="none"/>
                <w:lang w:eastAsia="zh-CN"/>
              </w:rPr>
              <w:t>万</w:t>
            </w:r>
            <w:r>
              <w:rPr>
                <w:rFonts w:hint="eastAsia" w:ascii="方正仿宋_GBK" w:hAnsi="宋体" w:eastAsia="方正仿宋_GBK" w:cs="宋体"/>
                <w:b/>
                <w:bCs/>
                <w:color w:val="auto"/>
                <w:kern w:val="0"/>
                <w:sz w:val="21"/>
                <w:szCs w:val="24"/>
                <w:highlight w:val="none"/>
              </w:rPr>
              <w:t>元）</w:t>
            </w:r>
          </w:p>
        </w:tc>
        <w:tc>
          <w:tcPr>
            <w:tcW w:w="1173"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成交供应商数量（名）</w:t>
            </w:r>
          </w:p>
        </w:tc>
        <w:tc>
          <w:tcPr>
            <w:tcW w:w="1279"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color w:val="auto"/>
                <w:kern w:val="0"/>
                <w:sz w:val="21"/>
                <w:szCs w:val="24"/>
                <w:highlight w:val="none"/>
                <w:lang w:eastAsia="zh-CN"/>
              </w:rPr>
            </w:pPr>
            <w:bookmarkStart w:id="14" w:name="_Hlk344477914"/>
            <w:r>
              <w:rPr>
                <w:rFonts w:hint="eastAsia" w:ascii="方正仿宋_GBK" w:hAnsi="宋体" w:eastAsia="方正仿宋_GBK" w:cs="宋体"/>
                <w:color w:val="auto"/>
                <w:kern w:val="0"/>
                <w:sz w:val="21"/>
                <w:szCs w:val="24"/>
                <w:highlight w:val="none"/>
                <w:lang w:eastAsia="zh-CN"/>
              </w:rPr>
              <w:t>乌江杨家堡、倒杠碛滩航道维护性疏浚（第二次）</w:t>
            </w:r>
          </w:p>
        </w:tc>
        <w:tc>
          <w:tcPr>
            <w:tcW w:w="78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K" w:hAnsi="宋体" w:eastAsia="方正仿宋_GBK"/>
                <w:color w:val="auto"/>
                <w:sz w:val="21"/>
                <w:szCs w:val="21"/>
                <w:highlight w:val="none"/>
                <w:lang w:val="en-US"/>
              </w:rPr>
            </w:pPr>
            <w:r>
              <w:rPr>
                <w:rFonts w:hint="default" w:ascii="方正仿宋_GBK" w:hAnsi="宋体" w:eastAsia="方正仿宋_GBK"/>
                <w:color w:val="auto"/>
                <w:sz w:val="21"/>
                <w:szCs w:val="21"/>
                <w:highlight w:val="none"/>
                <w:lang w:val="en-US" w:eastAsia="zh-CN"/>
              </w:rPr>
              <w:t>48.31</w:t>
            </w:r>
          </w:p>
        </w:tc>
        <w:tc>
          <w:tcPr>
            <w:tcW w:w="117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w:t>
            </w:r>
          </w:p>
        </w:tc>
        <w:tc>
          <w:tcPr>
            <w:tcW w:w="1279"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方正仿宋_GBK" w:hAnsi="宋体" w:eastAsia="方正仿宋_GBK"/>
                <w:b/>
                <w:color w:val="auto"/>
                <w:sz w:val="21"/>
                <w:szCs w:val="21"/>
                <w:highlight w:val="none"/>
              </w:rPr>
            </w:pPr>
          </w:p>
        </w:tc>
      </w:tr>
      <w:bookmarkEnd w:id="14"/>
    </w:tbl>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5" w:name="_Toc4424"/>
      <w:bookmarkStart w:id="16" w:name="_Toc3256"/>
      <w:bookmarkStart w:id="17" w:name="_Toc65660331"/>
      <w:bookmarkStart w:id="18" w:name="_Toc106034771"/>
      <w:bookmarkStart w:id="19" w:name="_Toc27028"/>
      <w:bookmarkStart w:id="20" w:name="_Toc373860293"/>
      <w:bookmarkStart w:id="21" w:name="_Toc317775178"/>
      <w:r>
        <w:rPr>
          <w:rFonts w:hint="eastAsia" w:ascii="方正仿宋_GBK" w:hAnsi="宋体" w:eastAsia="方正仿宋_GBK"/>
          <w:color w:val="auto"/>
          <w:sz w:val="24"/>
          <w:highlight w:val="none"/>
        </w:rPr>
        <w:t>二、资金来源</w:t>
      </w:r>
      <w:bookmarkEnd w:id="15"/>
      <w:bookmarkEnd w:id="16"/>
      <w:bookmarkEnd w:id="17"/>
      <w:bookmarkEnd w:id="18"/>
      <w:bookmarkEnd w:id="19"/>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rPr>
        <w:t>财政预算资金，采购预算</w:t>
      </w:r>
      <w:r>
        <w:rPr>
          <w:rFonts w:hint="eastAsia" w:ascii="方正仿宋_GBK" w:hAnsi="仿宋" w:eastAsia="方正仿宋_GBK"/>
          <w:color w:val="auto"/>
          <w:sz w:val="24"/>
          <w:szCs w:val="24"/>
          <w:highlight w:val="none"/>
          <w:lang w:val="en-US" w:eastAsia="zh-CN"/>
        </w:rPr>
        <w:t>48.31万</w:t>
      </w:r>
      <w:r>
        <w:rPr>
          <w:rFonts w:hint="eastAsia" w:ascii="方正仿宋_GBK" w:hAnsi="仿宋" w:eastAsia="方正仿宋_GBK"/>
          <w:color w:val="auto"/>
          <w:sz w:val="24"/>
          <w:szCs w:val="24"/>
          <w:highlight w:val="none"/>
        </w:rPr>
        <w:t>元。</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22" w:name="_Toc65660332"/>
      <w:bookmarkStart w:id="23" w:name="_Toc18548"/>
      <w:bookmarkStart w:id="24" w:name="_Toc64731996"/>
      <w:bookmarkStart w:id="25" w:name="_Toc20867"/>
      <w:bookmarkStart w:id="26" w:name="_Toc106034772"/>
      <w:bookmarkStart w:id="27" w:name="_Toc13541"/>
      <w:r>
        <w:rPr>
          <w:rFonts w:hint="eastAsia" w:ascii="方正仿宋_GBK" w:hAnsi="宋体" w:eastAsia="方正仿宋_GBK"/>
          <w:color w:val="auto"/>
          <w:sz w:val="24"/>
          <w:highlight w:val="none"/>
        </w:rPr>
        <w:t>三、供应商资格条件</w:t>
      </w:r>
      <w:bookmarkEnd w:id="22"/>
      <w:bookmarkEnd w:id="23"/>
      <w:bookmarkEnd w:id="24"/>
      <w:bookmarkEnd w:id="25"/>
      <w:bookmarkEnd w:id="26"/>
      <w:bookmarkEnd w:id="27"/>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（一）满足《中华人民共和国政府采购法》第二十二条规定；</w:t>
      </w:r>
    </w:p>
    <w:p>
      <w:pPr>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（二）本项目的特定资格要求：</w:t>
      </w:r>
      <w:r>
        <w:rPr>
          <w:rFonts w:hint="eastAsia" w:ascii="方正仿宋_GBK" w:hAnsi="宋体" w:eastAsia="方正仿宋_GBK"/>
          <w:color w:val="auto"/>
          <w:sz w:val="24"/>
          <w:szCs w:val="24"/>
          <w:highlight w:val="none"/>
          <w:lang w:eastAsia="zh-CN"/>
        </w:rPr>
        <w:t>港口与航道工程施工总承包三级及以上资质或航道工程专业承包三级及以上资质。</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28" w:name="_Toc11908"/>
      <w:bookmarkStart w:id="29" w:name="_Toc1386"/>
      <w:bookmarkStart w:id="30" w:name="_Toc65660333"/>
      <w:bookmarkStart w:id="31" w:name="_Toc13903"/>
      <w:bookmarkStart w:id="32" w:name="_Toc106034773"/>
      <w:r>
        <w:rPr>
          <w:rFonts w:hint="eastAsia" w:ascii="方正仿宋_GBK" w:hAnsi="宋体" w:eastAsia="方正仿宋_GBK"/>
          <w:color w:val="auto"/>
          <w:sz w:val="24"/>
          <w:highlight w:val="none"/>
        </w:rPr>
        <w:t>四、限额以下比价有关说明</w:t>
      </w:r>
      <w:bookmarkEnd w:id="20"/>
      <w:bookmarkEnd w:id="28"/>
      <w:bookmarkEnd w:id="29"/>
      <w:bookmarkEnd w:id="30"/>
      <w:bookmarkEnd w:id="31"/>
      <w:bookmarkEnd w:id="32"/>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（一）凡有意参加比价的供应商，请在重庆市交通</w:t>
      </w:r>
      <w:r>
        <w:rPr>
          <w:rFonts w:hint="eastAsia" w:ascii="方正仿宋_GBK" w:hAnsi="宋体" w:eastAsia="方正仿宋_GBK"/>
          <w:color w:val="auto"/>
          <w:sz w:val="24"/>
          <w:szCs w:val="24"/>
          <w:highlight w:val="none"/>
          <w:lang w:eastAsia="zh-CN"/>
        </w:rPr>
        <w:t>运输委员会</w:t>
      </w:r>
      <w:r>
        <w:rPr>
          <w:rFonts w:hint="eastAsia" w:ascii="宋体" w:hAnsi="宋体" w:cs="宋体"/>
          <w:color w:val="auto"/>
          <w:sz w:val="24"/>
          <w:szCs w:val="24"/>
          <w:highlight w:val="none"/>
        </w:rPr>
        <w:t>（https://jtj.cq.gov.cn）</w:t>
      </w:r>
      <w:r>
        <w:rPr>
          <w:rFonts w:hint="eastAsia" w:ascii="方正仿宋_GBK" w:hAnsi="宋体" w:eastAsia="方正仿宋_GBK"/>
          <w:color w:val="auto"/>
          <w:sz w:val="24"/>
          <w:szCs w:val="24"/>
          <w:highlight w:val="none"/>
        </w:rPr>
        <w:t>上下载本项目采购文件以及图纸、澄清等报价前公布的所有项目资料，无论供应商下载与否，均视为已知晓所有实质性要求内容。</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（二）采购公告期限：</w:t>
      </w:r>
    </w:p>
    <w:p>
      <w:pPr>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自采购公告发布之日起三个工作日</w:t>
      </w:r>
      <w:r>
        <w:rPr>
          <w:rFonts w:hint="eastAsia" w:ascii="方正仿宋_GBK" w:hAnsi="宋体" w:eastAsia="方正仿宋_GBK" w:cs="Times New Roman"/>
          <w:color w:val="auto"/>
          <w:sz w:val="24"/>
          <w:szCs w:val="24"/>
          <w:highlight w:val="none"/>
        </w:rPr>
        <w:t>（202</w:t>
      </w:r>
      <w:r>
        <w:rPr>
          <w:rFonts w:hint="eastAsia" w:ascii="方正仿宋_GBK" w:hAnsi="宋体" w:eastAsia="方正仿宋_GBK" w:cs="Times New Roman"/>
          <w:color w:val="auto"/>
          <w:sz w:val="24"/>
          <w:szCs w:val="24"/>
          <w:highlight w:val="none"/>
          <w:lang w:val="en-US" w:eastAsia="zh-CN"/>
        </w:rPr>
        <w:t>4</w:t>
      </w:r>
      <w:r>
        <w:rPr>
          <w:rFonts w:hint="eastAsia" w:ascii="方正仿宋_GBK" w:hAnsi="宋体" w:eastAsia="方正仿宋_GBK" w:cs="Times New Roman"/>
          <w:color w:val="auto"/>
          <w:sz w:val="24"/>
          <w:szCs w:val="24"/>
          <w:highlight w:val="none"/>
        </w:rPr>
        <w:t>年</w:t>
      </w:r>
      <w:r>
        <w:rPr>
          <w:rFonts w:hint="eastAsia" w:ascii="方正仿宋_GBK" w:hAnsi="宋体" w:eastAsia="方正仿宋_GBK" w:cs="Times New Roman"/>
          <w:color w:val="auto"/>
          <w:sz w:val="24"/>
          <w:szCs w:val="24"/>
          <w:highlight w:val="none"/>
          <w:lang w:val="en-US" w:eastAsia="zh-CN"/>
        </w:rPr>
        <w:t>9</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20</w:t>
      </w:r>
      <w:r>
        <w:rPr>
          <w:rFonts w:hint="eastAsia" w:ascii="方正仿宋_GBK" w:hAnsi="宋体" w:eastAsia="方正仿宋_GBK" w:cs="Times New Roman"/>
          <w:color w:val="auto"/>
          <w:sz w:val="24"/>
          <w:szCs w:val="24"/>
          <w:highlight w:val="none"/>
        </w:rPr>
        <w:t>日-</w:t>
      </w:r>
      <w:r>
        <w:rPr>
          <w:rFonts w:hint="eastAsia" w:ascii="方正仿宋_GBK" w:hAnsi="宋体" w:eastAsia="方正仿宋_GBK" w:cs="Times New Roman"/>
          <w:color w:val="auto"/>
          <w:sz w:val="24"/>
          <w:szCs w:val="24"/>
          <w:highlight w:val="none"/>
          <w:lang w:val="en-US" w:eastAsia="zh-CN"/>
        </w:rPr>
        <w:t>9</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25</w:t>
      </w:r>
      <w:r>
        <w:rPr>
          <w:rFonts w:hint="eastAsia" w:ascii="方正仿宋_GBK" w:hAnsi="宋体" w:eastAsia="方正仿宋_GBK" w:cs="Times New Roman"/>
          <w:color w:val="auto"/>
          <w:sz w:val="24"/>
          <w:szCs w:val="24"/>
          <w:highlight w:val="none"/>
        </w:rPr>
        <w:t>日17:30）。</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2.报名方式：</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（1）在</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公告期限内到重庆华大工程管理有限公司报名并领取采购文件。</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方式一：将《发售登记表》递交现场报名。</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方式二：将《发售登记表》盖章后发送至</w:t>
      </w:r>
      <w:r>
        <w:rPr>
          <w:rFonts w:hint="eastAsia" w:ascii="方正仿宋_GBK" w:hAnsi="宋体" w:eastAsia="方正仿宋_GBK"/>
          <w:color w:val="auto"/>
          <w:sz w:val="24"/>
          <w:szCs w:val="24"/>
          <w:highlight w:val="none"/>
          <w:lang w:val="en-US" w:eastAsia="zh-CN"/>
        </w:rPr>
        <w:t>114735376</w:t>
      </w:r>
      <w:r>
        <w:rPr>
          <w:rFonts w:hint="eastAsia" w:ascii="方正仿宋_GBK" w:hAnsi="宋体" w:eastAsia="方正仿宋_GBK"/>
          <w:color w:val="auto"/>
          <w:sz w:val="24"/>
          <w:szCs w:val="24"/>
          <w:highlight w:val="none"/>
        </w:rPr>
        <w:t>@qq.com。</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（2）供应商须满足以下两种要求，其响应文件才被接受：</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1、按时递交了响应文件；</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2、按时报名签到；</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文件规定的时间为北京时间。</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（4）超过</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截止时间、不按本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文件规定密封的响应文件，或不按</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文件规定提交有效足额</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保证金的供应商，均视为不响应</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文件要求，为无效响应。</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售价：人民币500元/包。</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提交方式：现金或微信或转账。</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转账信息：</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1、单位名称：重庆华大工程管理有限公司</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2、单位开户行及账号：中国工商银行股份有限公司重庆枳城支行      3100234409000002238</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（三）递交响应文件地点：重庆华大工程管理有限公司（涪陵区新城区建筑大厦3楼）</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（四）提交响应文件截止时间：202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9</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26</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14:00</w:t>
      </w:r>
      <w:r>
        <w:rPr>
          <w:rFonts w:hint="eastAsia" w:ascii="方正仿宋_GBK" w:hAnsi="宋体" w:eastAsia="方正仿宋_GBK"/>
          <w:color w:val="auto"/>
          <w:sz w:val="24"/>
          <w:szCs w:val="24"/>
          <w:highlight w:val="none"/>
        </w:rPr>
        <w:t>时至</w:t>
      </w:r>
      <w:r>
        <w:rPr>
          <w:rFonts w:hint="eastAsia" w:ascii="方正仿宋_GBK" w:hAnsi="宋体" w:eastAsia="方正仿宋_GBK"/>
          <w:color w:val="auto"/>
          <w:sz w:val="24"/>
          <w:szCs w:val="24"/>
          <w:highlight w:val="none"/>
          <w:lang w:val="en-US" w:eastAsia="zh-CN"/>
        </w:rPr>
        <w:t>14:30</w:t>
      </w:r>
      <w:r>
        <w:rPr>
          <w:rFonts w:hint="eastAsia" w:ascii="方正仿宋_GBK" w:hAnsi="宋体" w:eastAsia="方正仿宋_GBK"/>
          <w:color w:val="auto"/>
          <w:sz w:val="24"/>
          <w:szCs w:val="24"/>
          <w:highlight w:val="none"/>
        </w:rPr>
        <w:t>时</w:t>
      </w:r>
    </w:p>
    <w:p>
      <w:pPr>
        <w:pageBreakBefore w:val="0"/>
        <w:widowControl w:val="0"/>
        <w:kinsoku/>
        <w:wordWrap/>
        <w:overflowPunct/>
        <w:topLinePunct w:val="0"/>
        <w:autoSpaceDE/>
        <w:autoSpaceDN/>
        <w:bidi w:val="0"/>
        <w:spacing w:line="380" w:lineRule="exact"/>
        <w:ind w:firstLine="480" w:firstLineChars="200"/>
        <w:textAlignment w:val="auto"/>
        <w:rPr>
          <w:rFonts w:hint="default" w:ascii="方正仿宋_GBK" w:hAnsi="宋体" w:eastAsia="方正仿宋_GBK"/>
          <w:color w:val="auto"/>
          <w:sz w:val="24"/>
          <w:szCs w:val="24"/>
          <w:highlight w:val="none"/>
          <w:lang w:val="en-US"/>
        </w:rPr>
      </w:pPr>
      <w:r>
        <w:rPr>
          <w:rFonts w:hint="eastAsia" w:ascii="方正仿宋_GBK" w:hAnsi="宋体" w:eastAsia="方正仿宋_GBK"/>
          <w:color w:val="auto"/>
          <w:sz w:val="24"/>
          <w:szCs w:val="24"/>
          <w:highlight w:val="none"/>
        </w:rPr>
        <w:t>（五）评审开始时间：202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9</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26</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14:30</w:t>
      </w:r>
      <w:r>
        <w:rPr>
          <w:rFonts w:hint="eastAsia" w:ascii="方正仿宋_GBK" w:hAnsi="宋体" w:eastAsia="方正仿宋_GBK"/>
          <w:color w:val="auto"/>
          <w:sz w:val="24"/>
          <w:szCs w:val="24"/>
        </w:rPr>
        <w:t>时</w:t>
      </w:r>
    </w:p>
    <w:bookmarkEnd w:id="21"/>
    <w:p>
      <w:pPr>
        <w:pStyle w:val="4"/>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olor w:val="auto"/>
          <w:sz w:val="24"/>
          <w:highlight w:val="none"/>
        </w:rPr>
      </w:pPr>
      <w:bookmarkStart w:id="33" w:name="_Toc16269"/>
      <w:bookmarkStart w:id="34" w:name="_Toc106034776"/>
      <w:bookmarkStart w:id="35" w:name="_Toc4728"/>
      <w:bookmarkStart w:id="36" w:name="_Toc65660336"/>
      <w:bookmarkStart w:id="37" w:name="_Toc521053055"/>
      <w:bookmarkStart w:id="38" w:name="_Toc6563"/>
      <w:bookmarkStart w:id="39" w:name="_Toc525047163"/>
      <w:r>
        <w:rPr>
          <w:rFonts w:hint="eastAsia" w:ascii="方正仿宋_GBK" w:hAnsi="宋体" w:eastAsia="方正仿宋_GBK"/>
          <w:color w:val="auto"/>
          <w:sz w:val="24"/>
          <w:highlight w:val="none"/>
        </w:rPr>
        <w:t>五、其它有关规定</w:t>
      </w:r>
      <w:bookmarkEnd w:id="33"/>
      <w:bookmarkEnd w:id="34"/>
      <w:bookmarkEnd w:id="35"/>
      <w:bookmarkEnd w:id="36"/>
      <w:bookmarkEnd w:id="37"/>
      <w:bookmarkEnd w:id="38"/>
      <w:bookmarkEnd w:id="39"/>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，否则均为无效报价。</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（三）同一合同项（包）下为单一品目的货物采购中，同一品牌同一型号产品有多家供应商参加谈判，只能按照一家供应商计算。</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（四）同一合同项（包）下的货物，制造商参与报价的，不得再委托代理商参与报价。</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（五）本项目的澄清文件（如果有）一律在重庆市交通</w:t>
      </w:r>
      <w:r>
        <w:rPr>
          <w:rFonts w:hint="eastAsia" w:ascii="方正仿宋_GBK" w:hAnsi="宋体" w:eastAsia="方正仿宋_GBK"/>
          <w:color w:val="auto"/>
          <w:sz w:val="24"/>
          <w:szCs w:val="24"/>
          <w:highlight w:val="none"/>
          <w:lang w:eastAsia="zh-CN"/>
        </w:rPr>
        <w:t>运输委员会官</w:t>
      </w:r>
      <w:r>
        <w:rPr>
          <w:rFonts w:hint="eastAsia" w:ascii="方正仿宋_GBK" w:hAnsi="宋体" w:eastAsia="方正仿宋_GBK"/>
          <w:color w:val="auto"/>
          <w:sz w:val="24"/>
          <w:szCs w:val="24"/>
          <w:highlight w:val="none"/>
        </w:rPr>
        <w:t>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上发布，请各供应商注意下载；无论供应商下载或领取与否，均视同供应商已知晓本项目澄清文件（如果有）的内容。</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（七）限额以下比价费用：无论采购结果如何，供应商参与本项目比价的所有费用均应由供应商自行承担。</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（八）本项目不接受联合体参与报价，否则按无效处理。</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（九）本项目不接受合同分包，否则按无效处理。</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Cs/>
          <w:color w:val="auto"/>
          <w:sz w:val="24"/>
          <w:szCs w:val="24"/>
          <w:highlight w:val="none"/>
        </w:rPr>
        <w:t>（十）</w:t>
      </w:r>
      <w:r>
        <w:rPr>
          <w:rFonts w:hint="eastAsia" w:ascii="方正仿宋_GBK" w:hAnsi="宋体" w:eastAsia="方正仿宋_GBK"/>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bookmarkStart w:id="40" w:name="_Toc525047164"/>
      <w:bookmarkStart w:id="41" w:name="_Toc10415"/>
      <w:bookmarkStart w:id="42" w:name="_Toc1733"/>
      <w:bookmarkStart w:id="43" w:name="_Toc1552"/>
      <w:bookmarkStart w:id="44" w:name="_Toc65660337"/>
      <w:bookmarkStart w:id="45" w:name="_Toc106034777"/>
      <w:bookmarkStart w:id="46" w:name="_Toc521053056"/>
    </w:p>
    <w:p>
      <w:pPr>
        <w:pStyle w:val="4"/>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六</w:t>
      </w:r>
      <w:r>
        <w:rPr>
          <w:rFonts w:hint="eastAsia" w:ascii="方正仿宋_GBK" w:hAnsi="宋体" w:eastAsia="方正仿宋_GBK"/>
          <w:color w:val="auto"/>
          <w:sz w:val="24"/>
          <w:highlight w:val="none"/>
        </w:rPr>
        <w:t>、现场踏勘</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本次项目内容为</w:t>
      </w:r>
      <w:r>
        <w:rPr>
          <w:rFonts w:hint="eastAsia" w:ascii="方正仿宋_GBK" w:hAnsi="宋体" w:eastAsia="方正仿宋_GBK"/>
          <w:color w:val="auto"/>
          <w:sz w:val="24"/>
          <w:szCs w:val="24"/>
          <w:highlight w:val="none"/>
          <w:lang w:eastAsia="zh-CN"/>
        </w:rPr>
        <w:t>乌江杨家堡、倒杠碛滩航道维护性疏浚（第二次）</w:t>
      </w:r>
      <w:r>
        <w:rPr>
          <w:rFonts w:hint="eastAsia" w:ascii="方正仿宋_GBK" w:hAnsi="宋体" w:eastAsia="方正仿宋_GBK"/>
          <w:color w:val="auto"/>
          <w:sz w:val="24"/>
          <w:szCs w:val="24"/>
          <w:highlight w:val="none"/>
        </w:rPr>
        <w:t>，有意向参与竞标的潜在供应商可在开标前自行踏勘现场，了解施工条件及环境。</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踏勘地点：乌江杨家堡、倒杠碛滩。</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联系人及联系电话：</w:t>
      </w:r>
      <w:r>
        <w:rPr>
          <w:rFonts w:hint="eastAsia" w:ascii="方正仿宋_GBK" w:hAnsi="宋体" w:eastAsia="方正仿宋_GBK"/>
          <w:color w:val="auto"/>
          <w:sz w:val="24"/>
          <w:szCs w:val="24"/>
          <w:highlight w:val="none"/>
          <w:lang w:eastAsia="zh-CN"/>
        </w:rPr>
        <w:t>代</w:t>
      </w:r>
      <w:r>
        <w:rPr>
          <w:rFonts w:hint="eastAsia" w:ascii="方正仿宋_GBK" w:hAnsi="宋体" w:eastAsia="方正仿宋_GBK"/>
          <w:color w:val="auto"/>
          <w:sz w:val="24"/>
          <w:szCs w:val="24"/>
          <w:highlight w:val="none"/>
        </w:rPr>
        <w:t>老师  023-</w:t>
      </w:r>
      <w:r>
        <w:rPr>
          <w:rFonts w:hint="eastAsia" w:ascii="方正仿宋_GBK" w:hAnsi="宋体" w:eastAsia="方正仿宋_GBK"/>
          <w:color w:val="auto"/>
          <w:sz w:val="24"/>
          <w:szCs w:val="24"/>
          <w:highlight w:val="none"/>
          <w:lang w:val="en-US" w:eastAsia="zh-CN"/>
        </w:rPr>
        <w:t>72300403</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踏勘注意事项：</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(1)潜在供应商踏勘现场发生的费用自理，无论供应商是否进行现场踏勘，均视为供应商对该项目情况十分清楚，能对投标及后来的实施做出准确的判断。</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(2)除采购人的原因外，潜在供应商自行负责在踏勘现场中所发生的人员伤亡和财产损失。</w:t>
      </w:r>
    </w:p>
    <w:p>
      <w:pPr>
        <w:pStyle w:val="4"/>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七</w:t>
      </w:r>
      <w:r>
        <w:rPr>
          <w:rFonts w:hint="eastAsia" w:ascii="方正仿宋_GBK" w:hAnsi="宋体" w:eastAsia="方正仿宋_GBK"/>
          <w:color w:val="auto"/>
          <w:sz w:val="24"/>
          <w:highlight w:val="none"/>
        </w:rPr>
        <w:t>、联系方式</w:t>
      </w:r>
      <w:bookmarkEnd w:id="40"/>
      <w:bookmarkEnd w:id="41"/>
      <w:bookmarkEnd w:id="42"/>
      <w:bookmarkEnd w:id="43"/>
      <w:bookmarkEnd w:id="44"/>
      <w:bookmarkEnd w:id="45"/>
      <w:bookmarkEnd w:id="46"/>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（一）采购人：重庆市乌江航道管理处</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焦</w:t>
      </w:r>
      <w:r>
        <w:rPr>
          <w:rFonts w:hint="eastAsia" w:ascii="方正仿宋_GBK" w:hAnsi="宋体" w:eastAsia="方正仿宋_GBK"/>
          <w:color w:val="auto"/>
          <w:sz w:val="24"/>
          <w:szCs w:val="24"/>
          <w:highlight w:val="none"/>
        </w:rPr>
        <w:t>老师</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 xml:space="preserve">023-72300403 </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址：重庆市涪陵区顺江大道望江路99号</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（二）采购代理机构：重庆华大工程管理有限公司</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刘</w:t>
      </w:r>
      <w:r>
        <w:rPr>
          <w:rFonts w:hint="eastAsia" w:ascii="方正仿宋_GBK" w:hAnsi="宋体" w:eastAsia="方正仿宋_GBK"/>
          <w:color w:val="auto"/>
          <w:sz w:val="24"/>
          <w:szCs w:val="24"/>
          <w:highlight w:val="none"/>
        </w:rPr>
        <w:t>老师</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18325055102</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址：重庆市涪陵区新城区建筑业大厦3楼</w:t>
      </w:r>
    </w:p>
    <w:p>
      <w:pPr>
        <w:pStyle w:val="4"/>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s="Times New Roman"/>
          <w:color w:val="auto"/>
          <w:sz w:val="24"/>
          <w:lang w:val="en-US" w:eastAsia="zh-CN"/>
        </w:rPr>
      </w:pPr>
      <w:r>
        <w:rPr>
          <w:rFonts w:hint="eastAsia" w:ascii="方正仿宋_GBK" w:hAnsi="宋体" w:eastAsia="方正仿宋_GBK" w:cs="Times New Roman"/>
          <w:color w:val="auto"/>
          <w:sz w:val="24"/>
          <w:lang w:val="en-US" w:eastAsia="zh-CN"/>
        </w:rPr>
        <w:t>八、项目其他说明</w:t>
      </w:r>
    </w:p>
    <w:p>
      <w:pPr>
        <w:snapToGrid w:val="0"/>
        <w:spacing w:line="400" w:lineRule="exact"/>
        <w:ind w:firstLine="480" w:firstLineChars="200"/>
        <w:rPr>
          <w:rFonts w:hint="eastAsia" w:ascii="宋体" w:hAnsi="宋体"/>
          <w:b w:val="0"/>
          <w:bCs/>
          <w:color w:val="auto"/>
          <w:sz w:val="24"/>
          <w:szCs w:val="24"/>
        </w:rPr>
      </w:pPr>
      <w:r>
        <w:rPr>
          <w:rFonts w:hint="eastAsia" w:ascii="宋体" w:hAnsi="宋体"/>
          <w:b w:val="0"/>
          <w:bCs/>
          <w:color w:val="auto"/>
          <w:sz w:val="24"/>
          <w:szCs w:val="24"/>
        </w:rPr>
        <w:t>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的</w:t>
      </w:r>
      <w:r>
        <w:rPr>
          <w:rFonts w:hint="eastAsia" w:ascii="宋体" w:hAnsi="宋体"/>
          <w:b w:val="0"/>
          <w:bCs/>
          <w:color w:val="auto"/>
          <w:sz w:val="24"/>
          <w:szCs w:val="24"/>
          <w:lang w:val="zh-CN"/>
        </w:rPr>
        <w:t>法定代表人或</w:t>
      </w:r>
      <w:r>
        <w:rPr>
          <w:rFonts w:hint="eastAsia" w:ascii="宋体" w:hAnsi="宋体"/>
          <w:b w:val="0"/>
          <w:bCs/>
          <w:color w:val="auto"/>
          <w:sz w:val="24"/>
          <w:szCs w:val="24"/>
        </w:rPr>
        <w:t>授权代理人</w:t>
      </w:r>
      <w:r>
        <w:rPr>
          <w:rFonts w:hint="eastAsia" w:ascii="宋体" w:hAnsi="宋体"/>
          <w:b w:val="0"/>
          <w:bCs/>
          <w:color w:val="auto"/>
          <w:sz w:val="24"/>
          <w:szCs w:val="24"/>
          <w:lang w:val="zh-CN"/>
        </w:rPr>
        <w:t>必须按时参加本项目开标会议。</w:t>
      </w:r>
    </w:p>
    <w:p>
      <w:pPr>
        <w:snapToGrid w:val="0"/>
        <w:spacing w:line="400" w:lineRule="exact"/>
        <w:ind w:firstLine="480" w:firstLineChars="200"/>
        <w:rPr>
          <w:rFonts w:hint="eastAsia" w:ascii="宋体" w:hAnsi="宋体"/>
          <w:b w:val="0"/>
          <w:bCs/>
          <w:color w:val="auto"/>
          <w:sz w:val="24"/>
          <w:szCs w:val="24"/>
        </w:rPr>
      </w:pPr>
      <w:r>
        <w:rPr>
          <w:rFonts w:hint="eastAsia" w:ascii="宋体" w:hAnsi="宋体"/>
          <w:b w:val="0"/>
          <w:bCs/>
          <w:color w:val="auto"/>
          <w:sz w:val="24"/>
          <w:szCs w:val="24"/>
        </w:rPr>
        <w:t>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的法定代表人参加</w:t>
      </w:r>
      <w:r>
        <w:rPr>
          <w:rFonts w:hint="eastAsia" w:ascii="宋体" w:hAnsi="宋体"/>
          <w:b w:val="0"/>
          <w:bCs/>
          <w:color w:val="auto"/>
          <w:sz w:val="24"/>
          <w:szCs w:val="24"/>
          <w:lang w:eastAsia="zh-CN"/>
        </w:rPr>
        <w:t>开标</w:t>
      </w:r>
      <w:r>
        <w:rPr>
          <w:rFonts w:hint="eastAsia" w:ascii="宋体" w:hAnsi="宋体"/>
          <w:b w:val="0"/>
          <w:bCs/>
          <w:color w:val="auto"/>
          <w:sz w:val="24"/>
          <w:szCs w:val="24"/>
        </w:rPr>
        <w:t>会议的，应当随身携带本人身份证（原件），法定代表人身份证明书（原件）；</w:t>
      </w:r>
    </w:p>
    <w:p>
      <w:pPr>
        <w:snapToGrid w:val="0"/>
        <w:spacing w:line="400" w:lineRule="exact"/>
        <w:ind w:firstLine="480" w:firstLineChars="200"/>
        <w:rPr>
          <w:rFonts w:hint="eastAsia" w:ascii="宋体" w:hAnsi="宋体"/>
          <w:b w:val="0"/>
          <w:bCs/>
          <w:color w:val="auto"/>
          <w:sz w:val="24"/>
          <w:szCs w:val="24"/>
        </w:rPr>
      </w:pPr>
      <w:r>
        <w:rPr>
          <w:rFonts w:hint="eastAsia" w:ascii="宋体" w:hAnsi="宋体"/>
          <w:b w:val="0"/>
          <w:bCs/>
          <w:color w:val="auto"/>
          <w:sz w:val="24"/>
          <w:szCs w:val="24"/>
        </w:rPr>
        <w:t>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的授权代理人参加</w:t>
      </w:r>
      <w:r>
        <w:rPr>
          <w:rFonts w:hint="eastAsia" w:ascii="宋体" w:hAnsi="宋体"/>
          <w:b w:val="0"/>
          <w:bCs/>
          <w:color w:val="auto"/>
          <w:sz w:val="24"/>
          <w:szCs w:val="24"/>
          <w:lang w:eastAsia="zh-CN"/>
        </w:rPr>
        <w:t>开标</w:t>
      </w:r>
      <w:r>
        <w:rPr>
          <w:rFonts w:hint="eastAsia" w:ascii="宋体" w:hAnsi="宋体"/>
          <w:b w:val="0"/>
          <w:bCs/>
          <w:color w:val="auto"/>
          <w:sz w:val="24"/>
          <w:szCs w:val="24"/>
        </w:rPr>
        <w:t>会议的，除随身携带法定代表人身份证明书（原件）外，还应当随身携带法定代表人授权委托书(原件)、投标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为其交纳的社保证明材料以及本人身份证（原件），否则不予参加</w:t>
      </w:r>
      <w:r>
        <w:rPr>
          <w:rFonts w:hint="eastAsia" w:ascii="宋体" w:hAnsi="宋体"/>
          <w:b w:val="0"/>
          <w:bCs/>
          <w:color w:val="auto"/>
          <w:sz w:val="24"/>
          <w:szCs w:val="24"/>
          <w:lang w:eastAsia="zh-CN"/>
        </w:rPr>
        <w:t>开标</w:t>
      </w:r>
      <w:r>
        <w:rPr>
          <w:rFonts w:hint="eastAsia" w:ascii="宋体" w:hAnsi="宋体"/>
          <w:b w:val="0"/>
          <w:bCs/>
          <w:color w:val="auto"/>
          <w:sz w:val="24"/>
          <w:szCs w:val="24"/>
        </w:rPr>
        <w:t>会，其递交的投标文件将被退还给投标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w:t>
      </w:r>
    </w:p>
    <w:p>
      <w:pPr>
        <w:pStyle w:val="2"/>
        <w:ind w:left="0" w:leftChars="0" w:firstLine="480" w:firstLineChars="200"/>
        <w:rPr>
          <w:rFonts w:hint="eastAsia"/>
          <w:color w:val="auto"/>
        </w:rPr>
        <w:sectPr>
          <w:pgSz w:w="11907" w:h="16840"/>
          <w:pgMar w:top="1134" w:right="1361" w:bottom="1134" w:left="1361" w:header="964" w:footer="992" w:gutter="0"/>
          <w:pgNumType w:fmt="numberInDash"/>
          <w:cols w:space="720" w:num="1"/>
          <w:docGrid w:linePitch="312" w:charSpace="0"/>
        </w:sectPr>
      </w:pPr>
      <w:r>
        <w:rPr>
          <w:rFonts w:hint="eastAsia" w:ascii="宋体" w:hAnsi="宋体"/>
          <w:b w:val="0"/>
          <w:bCs/>
          <w:color w:val="auto"/>
          <w:sz w:val="24"/>
          <w:szCs w:val="24"/>
        </w:rPr>
        <w:t>注：《法定代表人身份证明书》及《法定代表人授权委托书》原件须按要求装入投标文件，也要随身携带壹份以供监督人员核实身份</w:t>
      </w:r>
      <w:r>
        <w:rPr>
          <w:rFonts w:hint="eastAsia" w:ascii="宋体" w:hAnsi="宋体"/>
          <w:b w:val="0"/>
          <w:bCs/>
          <w:color w:val="auto"/>
          <w:sz w:val="24"/>
          <w:szCs w:val="24"/>
          <w:lang w:eastAsia="zh-CN"/>
        </w:rPr>
        <w:t>，社保缴纳期限：</w:t>
      </w:r>
      <w:r>
        <w:rPr>
          <w:rFonts w:hint="eastAsia" w:ascii="宋体" w:hAnsi="宋体"/>
          <w:b w:val="0"/>
          <w:bCs/>
          <w:color w:val="auto"/>
          <w:sz w:val="24"/>
          <w:szCs w:val="24"/>
          <w:lang w:val="en-US" w:eastAsia="zh-CN"/>
        </w:rPr>
        <w:t>2024年6月-2024年8月。</w:t>
      </w:r>
      <w:bookmarkStart w:id="228" w:name="_GoBack"/>
      <w:bookmarkEnd w:id="228"/>
    </w:p>
    <w:p>
      <w:pPr>
        <w:pStyle w:val="4"/>
        <w:spacing w:before="0" w:after="0" w:line="360" w:lineRule="auto"/>
        <w:jc w:val="center"/>
        <w:rPr>
          <w:rFonts w:hint="eastAsia"/>
          <w:b/>
          <w:color w:val="auto"/>
          <w:highlight w:val="none"/>
        </w:rPr>
      </w:pPr>
      <w:bookmarkStart w:id="47" w:name="_Toc11327"/>
      <w:bookmarkStart w:id="48" w:name="_Toc106034778"/>
      <w:bookmarkStart w:id="49" w:name="_Toc14516"/>
      <w:bookmarkStart w:id="50" w:name="_Toc65660338"/>
      <w:bookmarkStart w:id="51" w:name="_Toc1292"/>
      <w:bookmarkStart w:id="52" w:name="_Toc102227313"/>
      <w:r>
        <w:rPr>
          <w:rFonts w:hint="eastAsia" w:ascii="方正小标宋_GBK" w:eastAsia="方正小标宋_GBK"/>
          <w:b w:val="0"/>
          <w:color w:val="auto"/>
          <w:sz w:val="36"/>
          <w:szCs w:val="30"/>
          <w:highlight w:val="none"/>
        </w:rPr>
        <w:t>第二篇  项目技术（质量）需求</w:t>
      </w:r>
      <w:bookmarkEnd w:id="47"/>
      <w:bookmarkEnd w:id="48"/>
      <w:bookmarkEnd w:id="49"/>
      <w:bookmarkEnd w:id="50"/>
      <w:bookmarkEnd w:id="51"/>
    </w:p>
    <w:p>
      <w:pPr>
        <w:rPr>
          <w:rFonts w:hint="eastAsia" w:ascii="仿宋" w:hAnsi="仿宋" w:eastAsia="仿宋" w:cs="仿宋"/>
          <w:b/>
          <w:bCs w:val="0"/>
          <w:color w:val="auto"/>
          <w:highlight w:val="none"/>
        </w:rPr>
      </w:pPr>
      <w:bookmarkStart w:id="53" w:name="_Toc2119"/>
      <w:bookmarkStart w:id="54" w:name="_Toc11439"/>
      <w:bookmarkStart w:id="55" w:name="_Toc65660340"/>
      <w:bookmarkStart w:id="56" w:name="_Toc106034780"/>
      <w:bookmarkStart w:id="57" w:name="_Toc10723"/>
      <w:r>
        <w:rPr>
          <w:rFonts w:hint="eastAsia" w:ascii="仿宋" w:hAnsi="仿宋" w:eastAsia="仿宋" w:cs="仿宋"/>
          <w:b/>
          <w:bCs w:val="0"/>
          <w:color w:val="auto"/>
          <w:highlight w:val="none"/>
          <w:lang w:eastAsia="zh-CN"/>
        </w:rPr>
        <w:t>一、</w:t>
      </w:r>
      <w:r>
        <w:rPr>
          <w:rFonts w:hint="eastAsia" w:ascii="仿宋" w:hAnsi="仿宋" w:eastAsia="仿宋" w:cs="仿宋"/>
          <w:b/>
          <w:bCs w:val="0"/>
          <w:color w:val="auto"/>
          <w:highlight w:val="none"/>
        </w:rPr>
        <w:t>询价项目内容及要求一览表</w:t>
      </w:r>
    </w:p>
    <w:tbl>
      <w:tblPr>
        <w:tblStyle w:val="59"/>
        <w:tblW w:w="87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9"/>
        <w:gridCol w:w="2085"/>
        <w:gridCol w:w="1297"/>
        <w:gridCol w:w="2245"/>
        <w:gridCol w:w="1008"/>
        <w:gridCol w:w="1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lang w:val="en-US" w:eastAsia="zh-CN"/>
              </w:rPr>
              <w:t>序号</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项目编码</w:t>
            </w:r>
          </w:p>
        </w:tc>
        <w:tc>
          <w:tcPr>
            <w:tcW w:w="3542"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rPr>
              <w:t>项目名称</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计量单位</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569" w:type="dxa"/>
            <w:vMerge w:val="restart"/>
            <w:tcBorders>
              <w:top w:val="single" w:color="000000" w:sz="4" w:space="0"/>
              <w:left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lang w:val="en-US" w:eastAsia="zh-CN"/>
              </w:rPr>
              <w:t>1</w:t>
            </w:r>
          </w:p>
        </w:tc>
        <w:tc>
          <w:tcPr>
            <w:tcW w:w="2085" w:type="dxa"/>
            <w:vMerge w:val="restart"/>
            <w:tcBorders>
              <w:top w:val="single" w:color="000000" w:sz="4" w:space="0"/>
              <w:left w:val="single" w:color="000000" w:sz="4" w:space="0"/>
              <w:right w:val="single" w:color="000000" w:sz="4" w:space="0"/>
            </w:tcBorders>
            <w:noWrap w:val="0"/>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100200002001</w:t>
            </w:r>
          </w:p>
        </w:tc>
        <w:tc>
          <w:tcPr>
            <w:tcW w:w="1297" w:type="dxa"/>
            <w:vMerge w:val="restart"/>
            <w:tcBorders>
              <w:top w:val="single" w:color="000000" w:sz="4" w:space="0"/>
              <w:left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eastAsia="zh-CN"/>
              </w:rPr>
              <w:t>杨家堡滩疏浚</w:t>
            </w:r>
          </w:p>
        </w:tc>
        <w:tc>
          <w:tcPr>
            <w:tcW w:w="224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rPr>
              <w:t>净量</w:t>
            </w:r>
          </w:p>
        </w:tc>
        <w:tc>
          <w:tcPr>
            <w:tcW w:w="100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m³</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lang w:val="en-US" w:eastAsia="zh-CN"/>
              </w:rPr>
              <w:t>545.4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569" w:type="dxa"/>
            <w:vMerge w:val="continue"/>
            <w:tcBorders>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p>
        </w:tc>
        <w:tc>
          <w:tcPr>
            <w:tcW w:w="2085" w:type="dxa"/>
            <w:vMerge w:val="continue"/>
            <w:tcBorders>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p>
        </w:tc>
        <w:tc>
          <w:tcPr>
            <w:tcW w:w="1297" w:type="dxa"/>
            <w:vMerge w:val="continue"/>
            <w:tcBorders>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p>
        </w:tc>
        <w:tc>
          <w:tcPr>
            <w:tcW w:w="224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rPr>
              <w:t>定额工程量（含超深超宽）</w:t>
            </w:r>
          </w:p>
        </w:tc>
        <w:tc>
          <w:tcPr>
            <w:tcW w:w="100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m³</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880.4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69" w:type="dxa"/>
            <w:vMerge w:val="restart"/>
            <w:tcBorders>
              <w:left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2</w:t>
            </w:r>
          </w:p>
        </w:tc>
        <w:tc>
          <w:tcPr>
            <w:tcW w:w="2085" w:type="dxa"/>
            <w:vMerge w:val="restart"/>
            <w:tcBorders>
              <w:left w:val="single" w:color="000000" w:sz="4" w:space="0"/>
              <w:right w:val="single" w:color="000000" w:sz="4" w:space="0"/>
            </w:tcBorders>
            <w:noWrap w:val="0"/>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rPr>
              <w:t>10020000200</w:t>
            </w:r>
            <w:r>
              <w:rPr>
                <w:rFonts w:hint="eastAsia" w:ascii="仿宋_GB2312" w:hAnsi="宋体" w:eastAsia="仿宋_GB2312"/>
                <w:bCs/>
                <w:color w:val="auto"/>
                <w:sz w:val="28"/>
                <w:szCs w:val="28"/>
                <w:highlight w:val="none"/>
                <w:lang w:val="en-US" w:eastAsia="zh-CN"/>
              </w:rPr>
              <w:t>2</w:t>
            </w:r>
          </w:p>
        </w:tc>
        <w:tc>
          <w:tcPr>
            <w:tcW w:w="1297" w:type="dxa"/>
            <w:vMerge w:val="restart"/>
            <w:tcBorders>
              <w:left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eastAsia="zh-CN"/>
              </w:rPr>
              <w:t>倒杠碛滩疏浚</w:t>
            </w:r>
          </w:p>
        </w:tc>
        <w:tc>
          <w:tcPr>
            <w:tcW w:w="224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rPr>
              <w:t>净量</w:t>
            </w:r>
          </w:p>
        </w:tc>
        <w:tc>
          <w:tcPr>
            <w:tcW w:w="100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m³</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1378.32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atLeast"/>
        </w:trPr>
        <w:tc>
          <w:tcPr>
            <w:tcW w:w="569" w:type="dxa"/>
            <w:vMerge w:val="continue"/>
            <w:tcBorders>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p>
        </w:tc>
        <w:tc>
          <w:tcPr>
            <w:tcW w:w="2085" w:type="dxa"/>
            <w:vMerge w:val="continue"/>
            <w:tcBorders>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p>
        </w:tc>
        <w:tc>
          <w:tcPr>
            <w:tcW w:w="1297" w:type="dxa"/>
            <w:vMerge w:val="continue"/>
            <w:tcBorders>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p>
        </w:tc>
        <w:tc>
          <w:tcPr>
            <w:tcW w:w="224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rPr>
              <w:t>定额工程量（含超深超宽）</w:t>
            </w:r>
          </w:p>
        </w:tc>
        <w:tc>
          <w:tcPr>
            <w:tcW w:w="100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rPr>
              <w:t>m³</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3061.8</w:t>
            </w:r>
          </w:p>
        </w:tc>
      </w:tr>
    </w:tbl>
    <w:p>
      <w:pPr>
        <w:pageBreakBefore w:val="0"/>
        <w:widowControl w:val="0"/>
        <w:kinsoku/>
        <w:wordWrap/>
        <w:overflowPunct/>
        <w:topLinePunct w:val="0"/>
        <w:autoSpaceDE/>
        <w:autoSpaceDN/>
        <w:bidi w:val="0"/>
        <w:snapToGrid w:val="0"/>
        <w:spacing w:line="380" w:lineRule="exact"/>
        <w:textAlignment w:val="auto"/>
        <w:rPr>
          <w:rFonts w:hint="eastAsia" w:ascii="仿宋_GB2312" w:hAnsi="宋体" w:eastAsia="仿宋_GB2312"/>
          <w:bCs/>
          <w:color w:val="auto"/>
          <w:sz w:val="28"/>
          <w:szCs w:val="28"/>
          <w:highlight w:val="none"/>
        </w:rPr>
      </w:pPr>
    </w:p>
    <w:p>
      <w:pPr>
        <w:pageBreakBefore w:val="0"/>
        <w:widowControl w:val="0"/>
        <w:numPr>
          <w:ilvl w:val="0"/>
          <w:numId w:val="13"/>
        </w:numPr>
        <w:kinsoku/>
        <w:wordWrap/>
        <w:overflowPunct/>
        <w:topLinePunct w:val="0"/>
        <w:autoSpaceDE/>
        <w:autoSpaceDN/>
        <w:bidi w:val="0"/>
        <w:snapToGrid w:val="0"/>
        <w:spacing w:line="380" w:lineRule="exact"/>
        <w:textAlignment w:val="auto"/>
        <w:rPr>
          <w:rFonts w:hint="eastAsia" w:ascii="仿宋" w:hAnsi="仿宋" w:eastAsia="仿宋" w:cs="仿宋"/>
          <w:b/>
          <w:bCs w:val="0"/>
          <w:color w:val="auto"/>
          <w:highlight w:val="none"/>
          <w:lang w:eastAsia="zh-CN"/>
        </w:rPr>
      </w:pPr>
      <w:bookmarkStart w:id="58" w:name="_Toc106030880"/>
      <w:r>
        <w:rPr>
          <w:rFonts w:hint="eastAsia" w:ascii="仿宋" w:hAnsi="仿宋" w:eastAsia="仿宋" w:cs="仿宋"/>
          <w:b/>
          <w:bCs w:val="0"/>
          <w:color w:val="auto"/>
          <w:highlight w:val="none"/>
          <w:lang w:eastAsia="zh-CN"/>
        </w:rPr>
        <w:t>其它要求</w:t>
      </w:r>
    </w:p>
    <w:p>
      <w:pPr>
        <w:spacing w:line="560" w:lineRule="exact"/>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rPr>
        <w:t>1</w:t>
      </w:r>
      <w:r>
        <w:rPr>
          <w:rFonts w:hint="eastAsia" w:ascii="仿宋_GB2312" w:hAnsi="宋体" w:eastAsia="仿宋_GB2312"/>
          <w:bCs/>
          <w:color w:val="auto"/>
          <w:sz w:val="28"/>
          <w:szCs w:val="28"/>
          <w:lang w:eastAsia="zh-CN"/>
        </w:rPr>
        <w:t>、</w:t>
      </w:r>
      <w:r>
        <w:rPr>
          <w:rFonts w:hint="eastAsia" w:ascii="仿宋_GB2312" w:hAnsi="宋体" w:eastAsia="仿宋_GB2312"/>
          <w:bCs/>
          <w:color w:val="auto"/>
          <w:sz w:val="28"/>
          <w:szCs w:val="28"/>
        </w:rPr>
        <w:t>本工程疏浚土石方不大，全部弃于河道内。杨家堡滩疏浚土弃于航道里程约 54.9km 的深潭河道内，运距在 1.0 公里以内，弃渣后顶高控制在 135.0m 以下；倒杠碛滩疏浚土弃于开挖区下游的深潭内，弃渣后顶高控制在 163.0m 以下。</w:t>
      </w:r>
    </w:p>
    <w:p>
      <w:pPr>
        <w:spacing w:line="560" w:lineRule="exact"/>
        <w:ind w:firstLine="560" w:firstLineChars="200"/>
        <w:rPr>
          <w:rFonts w:hint="eastAsia" w:ascii="仿宋_GB2312" w:hAnsi="宋体" w:eastAsia="仿宋_GB2312" w:cs="Times New Roman"/>
          <w:bCs/>
          <w:color w:val="auto"/>
          <w:sz w:val="28"/>
          <w:szCs w:val="28"/>
          <w:lang w:val="en-US" w:eastAsia="zh-CN"/>
        </w:rPr>
      </w:pPr>
      <w:r>
        <w:rPr>
          <w:rFonts w:hint="eastAsia" w:ascii="仿宋_GB2312" w:hAnsi="宋体" w:eastAsia="仿宋_GB2312" w:cs="Times New Roman"/>
          <w:bCs/>
          <w:color w:val="auto"/>
          <w:sz w:val="28"/>
          <w:szCs w:val="28"/>
          <w:lang w:val="en-US" w:eastAsia="zh-CN"/>
        </w:rPr>
        <w:t>2、施工区域根据需要设立施工专用标志，禁航和施工区域提示标志，费用由中标供应商自行承担。</w:t>
      </w:r>
    </w:p>
    <w:p>
      <w:pPr>
        <w:spacing w:line="560" w:lineRule="exact"/>
        <w:ind w:firstLine="560" w:firstLineChars="200"/>
        <w:rPr>
          <w:rFonts w:hint="eastAsia" w:ascii="仿宋_GB2312" w:hAnsi="宋体" w:eastAsia="仿宋_GB2312" w:cs="Times New Roman"/>
          <w:bCs/>
          <w:color w:val="auto"/>
          <w:sz w:val="28"/>
          <w:szCs w:val="28"/>
          <w:lang w:val="en-US" w:eastAsia="zh-CN"/>
        </w:rPr>
      </w:pPr>
      <w:r>
        <w:rPr>
          <w:rFonts w:hint="eastAsia" w:ascii="仿宋_GB2312" w:hAnsi="宋体" w:eastAsia="仿宋_GB2312" w:cs="Times New Roman"/>
          <w:bCs/>
          <w:color w:val="auto"/>
          <w:sz w:val="28"/>
          <w:szCs w:val="28"/>
          <w:lang w:val="en-US" w:eastAsia="zh-CN"/>
        </w:rPr>
        <w:t>3、项目需严格按照水利、交通、环保、渔政等部门要求实施，涉及相关手续由中标供应商自行办理。</w:t>
      </w:r>
    </w:p>
    <w:p>
      <w:pPr>
        <w:pStyle w:val="2"/>
        <w:numPr>
          <w:ilvl w:val="0"/>
          <w:numId w:val="0"/>
        </w:numPr>
        <w:rPr>
          <w:rFonts w:hint="eastAsia"/>
          <w:color w:val="auto"/>
          <w:lang w:eastAsia="zh-CN"/>
        </w:rPr>
      </w:pPr>
    </w:p>
    <w:bookmarkEnd w:id="53"/>
    <w:bookmarkEnd w:id="54"/>
    <w:bookmarkEnd w:id="55"/>
    <w:bookmarkEnd w:id="56"/>
    <w:bookmarkEnd w:id="57"/>
    <w:bookmarkEnd w:id="58"/>
    <w:p>
      <w:pPr>
        <w:rPr>
          <w:rFonts w:hint="eastAsia" w:ascii="方正小标宋_GBK" w:eastAsia="方正小标宋_GBK"/>
          <w:b w:val="0"/>
          <w:color w:val="auto"/>
          <w:sz w:val="36"/>
          <w:szCs w:val="30"/>
          <w:highlight w:val="none"/>
        </w:rPr>
      </w:pPr>
      <w:bookmarkStart w:id="59" w:name="_Toc65660341"/>
      <w:bookmarkStart w:id="60" w:name="_Toc13356"/>
      <w:bookmarkStart w:id="61" w:name="_Toc15492"/>
      <w:bookmarkStart w:id="62" w:name="_Toc523"/>
      <w:bookmarkStart w:id="63" w:name="_Toc106034781"/>
      <w:r>
        <w:rPr>
          <w:rFonts w:hint="eastAsia" w:ascii="方正小标宋_GBK" w:eastAsia="方正小标宋_GBK"/>
          <w:b w:val="0"/>
          <w:color w:val="auto"/>
          <w:sz w:val="36"/>
          <w:szCs w:val="30"/>
          <w:highlight w:val="none"/>
        </w:rPr>
        <w:br w:type="page"/>
      </w:r>
    </w:p>
    <w:p>
      <w:pPr>
        <w:numPr>
          <w:ilvl w:val="0"/>
          <w:numId w:val="0"/>
        </w:numPr>
        <w:jc w:val="center"/>
        <w:rPr>
          <w:rFonts w:hint="eastAsia" w:ascii="方正小标宋_GBK" w:eastAsia="方正小标宋_GBK"/>
          <w:b w:val="0"/>
          <w:color w:val="auto"/>
          <w:sz w:val="36"/>
          <w:szCs w:val="30"/>
          <w:highlight w:val="none"/>
        </w:rPr>
      </w:pPr>
      <w:r>
        <w:rPr>
          <w:rFonts w:hint="eastAsia" w:ascii="方正小标宋_GBK" w:eastAsia="方正小标宋_GBK"/>
          <w:b w:val="0"/>
          <w:color w:val="auto"/>
          <w:sz w:val="36"/>
          <w:szCs w:val="30"/>
          <w:highlight w:val="none"/>
        </w:rPr>
        <w:t xml:space="preserve">第三篇  </w:t>
      </w:r>
      <w:bookmarkEnd w:id="52"/>
      <w:r>
        <w:rPr>
          <w:rFonts w:hint="eastAsia" w:ascii="方正小标宋_GBK" w:eastAsia="方正小标宋_GBK"/>
          <w:b w:val="0"/>
          <w:color w:val="auto"/>
          <w:sz w:val="36"/>
          <w:szCs w:val="30"/>
          <w:highlight w:val="none"/>
        </w:rPr>
        <w:t>项目</w:t>
      </w:r>
      <w:bookmarkEnd w:id="59"/>
      <w:bookmarkEnd w:id="60"/>
      <w:bookmarkEnd w:id="61"/>
      <w:bookmarkEnd w:id="62"/>
      <w:r>
        <w:rPr>
          <w:rFonts w:hint="eastAsia" w:ascii="方正小标宋_GBK" w:eastAsia="方正小标宋_GBK"/>
          <w:b w:val="0"/>
          <w:color w:val="auto"/>
          <w:sz w:val="36"/>
          <w:szCs w:val="30"/>
          <w:highlight w:val="none"/>
        </w:rPr>
        <w:t>商务需求</w:t>
      </w:r>
      <w:bookmarkEnd w:id="63"/>
    </w:p>
    <w:p>
      <w:pPr>
        <w:pStyle w:val="4"/>
        <w:adjustRightInd w:val="0"/>
        <w:snapToGrid w:val="0"/>
        <w:spacing w:before="0" w:after="0" w:line="400" w:lineRule="exact"/>
        <w:ind w:firstLine="482" w:firstLineChars="200"/>
        <w:rPr>
          <w:rFonts w:ascii="方正仿宋_GBK" w:hAnsi="宋体" w:eastAsia="方正仿宋_GBK"/>
          <w:color w:val="auto"/>
          <w:sz w:val="24"/>
          <w:highlight w:val="none"/>
        </w:rPr>
      </w:pPr>
      <w:bookmarkStart w:id="64" w:name="_Toc106034782"/>
      <w:bookmarkStart w:id="65" w:name="_Toc17750"/>
      <w:bookmarkStart w:id="66" w:name="_Toc12935"/>
      <w:bookmarkStart w:id="67" w:name="_Toc65660342"/>
      <w:bookmarkStart w:id="68" w:name="_Toc13555"/>
      <w:bookmarkStart w:id="69" w:name="_Toc342913389"/>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工期</w:t>
      </w:r>
      <w:r>
        <w:rPr>
          <w:rFonts w:hint="eastAsia" w:ascii="方正仿宋_GBK" w:hAnsi="宋体" w:eastAsia="方正仿宋_GBK"/>
          <w:color w:val="auto"/>
          <w:sz w:val="24"/>
          <w:highlight w:val="none"/>
        </w:rPr>
        <w:t>、地点及验收方式</w:t>
      </w:r>
      <w:bookmarkEnd w:id="64"/>
      <w:bookmarkEnd w:id="65"/>
      <w:bookmarkEnd w:id="66"/>
      <w:bookmarkEnd w:id="67"/>
      <w:bookmarkEnd w:id="68"/>
    </w:p>
    <w:p>
      <w:pPr>
        <w:pStyle w:val="34"/>
        <w:spacing w:line="400" w:lineRule="exact"/>
        <w:ind w:firstLine="360" w:firstLineChars="150"/>
        <w:outlineLvl w:val="2"/>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工期</w:t>
      </w:r>
      <w:r>
        <w:rPr>
          <w:rFonts w:hint="eastAsia" w:ascii="方正仿宋_GBK" w:hAnsi="宋体" w:eastAsia="方正仿宋_GBK"/>
          <w:color w:val="auto"/>
          <w:sz w:val="24"/>
          <w:szCs w:val="24"/>
          <w:highlight w:val="none"/>
        </w:rPr>
        <w:t>：合同签订后</w:t>
      </w:r>
      <w:r>
        <w:rPr>
          <w:rFonts w:hint="eastAsia" w:ascii="方正仿宋_GBK" w:hAnsi="宋体" w:eastAsia="方正仿宋_GBK"/>
          <w:color w:val="auto"/>
          <w:sz w:val="24"/>
          <w:szCs w:val="24"/>
          <w:highlight w:val="none"/>
          <w:lang w:val="en-US" w:eastAsia="zh-CN"/>
        </w:rPr>
        <w:t>60</w:t>
      </w:r>
      <w:r>
        <w:rPr>
          <w:rFonts w:hint="eastAsia" w:ascii="方正仿宋_GBK" w:hAnsi="宋体" w:eastAsia="方正仿宋_GBK"/>
          <w:color w:val="auto"/>
          <w:sz w:val="24"/>
          <w:szCs w:val="24"/>
          <w:highlight w:val="none"/>
        </w:rPr>
        <w:t>个日历日交付使用。</w:t>
      </w:r>
    </w:p>
    <w:p>
      <w:pPr>
        <w:pStyle w:val="34"/>
        <w:spacing w:line="400" w:lineRule="exact"/>
        <w:ind w:firstLine="360" w:firstLineChars="150"/>
        <w:outlineLvl w:val="2"/>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实施</w:t>
      </w:r>
      <w:r>
        <w:rPr>
          <w:rFonts w:hint="eastAsia" w:ascii="方正仿宋_GBK" w:hAnsi="宋体" w:eastAsia="方正仿宋_GBK"/>
          <w:color w:val="auto"/>
          <w:sz w:val="24"/>
          <w:szCs w:val="24"/>
          <w:highlight w:val="none"/>
        </w:rPr>
        <w:t>地点：乌江杨家堡、倒杠碛滩。</w:t>
      </w:r>
      <w:bookmarkStart w:id="70" w:name="_Toc122"/>
      <w:bookmarkStart w:id="71" w:name="_Toc12184"/>
      <w:bookmarkStart w:id="72" w:name="_Toc106034784"/>
      <w:bookmarkStart w:id="73" w:name="_Toc16974"/>
      <w:bookmarkStart w:id="74" w:name="_Toc65660344"/>
    </w:p>
    <w:p>
      <w:pPr>
        <w:pStyle w:val="34"/>
        <w:spacing w:line="400" w:lineRule="exact"/>
        <w:ind w:firstLine="360" w:firstLineChars="150"/>
        <w:outlineLvl w:val="2"/>
        <w:rPr>
          <w:rFonts w:hint="eastAsia" w:ascii="方正仿宋_GBK" w:hAnsi="宋体" w:eastAsia="方正仿宋_GBK" w:cs="Times New Roman"/>
          <w:b w:val="0"/>
          <w:color w:val="auto"/>
          <w:kern w:val="2"/>
          <w:sz w:val="24"/>
          <w:szCs w:val="24"/>
          <w:highlight w:val="none"/>
          <w:lang w:val="en-US" w:eastAsia="zh-CN" w:bidi="ar-SA"/>
        </w:rPr>
      </w:pPr>
      <w:r>
        <w:rPr>
          <w:rFonts w:hint="eastAsia" w:ascii="方正仿宋_GBK" w:hAnsi="宋体" w:eastAsia="方正仿宋_GBK" w:cs="Times New Roman"/>
          <w:b w:val="0"/>
          <w:color w:val="auto"/>
          <w:kern w:val="2"/>
          <w:sz w:val="24"/>
          <w:szCs w:val="24"/>
          <w:highlight w:val="none"/>
          <w:lang w:val="en-US" w:eastAsia="zh-CN" w:bidi="ar-SA"/>
        </w:rPr>
        <w:t>（三）验收方式：</w:t>
      </w:r>
    </w:p>
    <w:p>
      <w:pPr>
        <w:pStyle w:val="34"/>
        <w:spacing w:line="400" w:lineRule="exact"/>
        <w:ind w:firstLine="360" w:firstLineChars="150"/>
        <w:outlineLvl w:val="2"/>
        <w:rPr>
          <w:rFonts w:hint="default" w:ascii="方正仿宋_GBK" w:hAnsi="宋体" w:eastAsia="方正仿宋_GBK" w:cs="Times New Roman"/>
          <w:b w:val="0"/>
          <w:color w:val="auto"/>
          <w:kern w:val="2"/>
          <w:sz w:val="24"/>
          <w:szCs w:val="24"/>
          <w:highlight w:val="none"/>
          <w:lang w:val="en-US" w:eastAsia="zh-CN" w:bidi="ar-SA"/>
        </w:rPr>
      </w:pPr>
      <w:r>
        <w:rPr>
          <w:rFonts w:hint="default" w:ascii="方正仿宋_GBK" w:hAnsi="宋体" w:eastAsia="方正仿宋_GBK" w:cs="Times New Roman"/>
          <w:b w:val="0"/>
          <w:color w:val="auto"/>
          <w:kern w:val="2"/>
          <w:sz w:val="24"/>
          <w:szCs w:val="24"/>
          <w:highlight w:val="none"/>
          <w:lang w:val="en-US" w:eastAsia="zh-CN" w:bidi="ar-SA"/>
        </w:rPr>
        <w:t>1</w:t>
      </w:r>
      <w:r>
        <w:rPr>
          <w:rFonts w:hint="eastAsia" w:ascii="方正仿宋_GBK" w:hAnsi="宋体" w:eastAsia="方正仿宋_GBK" w:cs="Times New Roman"/>
          <w:b w:val="0"/>
          <w:color w:val="auto"/>
          <w:kern w:val="2"/>
          <w:sz w:val="24"/>
          <w:szCs w:val="24"/>
          <w:highlight w:val="none"/>
          <w:lang w:val="en-US" w:eastAsia="zh-CN" w:bidi="ar-SA"/>
        </w:rPr>
        <w:t>、</w:t>
      </w:r>
      <w:r>
        <w:rPr>
          <w:rFonts w:hint="default" w:ascii="方正仿宋_GBK" w:hAnsi="宋体" w:eastAsia="方正仿宋_GBK" w:cs="Times New Roman"/>
          <w:b w:val="0"/>
          <w:color w:val="auto"/>
          <w:kern w:val="2"/>
          <w:sz w:val="24"/>
          <w:szCs w:val="24"/>
          <w:highlight w:val="none"/>
          <w:lang w:val="en-US" w:eastAsia="zh-CN" w:bidi="ar-SA"/>
        </w:rPr>
        <w:t>本项目为交钥匙工程，供应商须负责完成</w:t>
      </w:r>
      <w:r>
        <w:rPr>
          <w:rFonts w:hint="eastAsia" w:ascii="方正仿宋_GBK" w:hAnsi="宋体" w:eastAsia="方正仿宋_GBK" w:cs="Times New Roman"/>
          <w:b w:val="0"/>
          <w:color w:val="auto"/>
          <w:kern w:val="2"/>
          <w:sz w:val="24"/>
          <w:szCs w:val="24"/>
          <w:highlight w:val="none"/>
          <w:lang w:val="en-US" w:eastAsia="zh-CN" w:bidi="ar-SA"/>
        </w:rPr>
        <w:t>乌江杨家堡、倒杠碛滩航道维护性疏浚（第二次）</w:t>
      </w:r>
      <w:r>
        <w:rPr>
          <w:rFonts w:hint="default" w:ascii="方正仿宋_GBK" w:hAnsi="宋体" w:eastAsia="方正仿宋_GBK" w:cs="Times New Roman"/>
          <w:b w:val="0"/>
          <w:color w:val="auto"/>
          <w:kern w:val="2"/>
          <w:sz w:val="24"/>
          <w:szCs w:val="24"/>
          <w:highlight w:val="none"/>
          <w:lang w:val="en-US" w:eastAsia="zh-CN" w:bidi="ar-SA"/>
        </w:rPr>
        <w:t>，按合同要求提交施工及验收成果资料，发包人参照询价项目内容及要求进行验收。</w:t>
      </w:r>
    </w:p>
    <w:p>
      <w:pPr>
        <w:pStyle w:val="34"/>
        <w:spacing w:line="400" w:lineRule="exact"/>
        <w:ind w:firstLine="360" w:firstLineChars="150"/>
        <w:outlineLvl w:val="2"/>
        <w:rPr>
          <w:rFonts w:hint="default" w:ascii="方正仿宋_GBK" w:hAnsi="宋体" w:eastAsia="方正仿宋_GBK" w:cs="Times New Roman"/>
          <w:b w:val="0"/>
          <w:color w:val="auto"/>
          <w:kern w:val="2"/>
          <w:sz w:val="24"/>
          <w:szCs w:val="24"/>
          <w:highlight w:val="none"/>
          <w:lang w:val="en-US" w:eastAsia="zh-CN" w:bidi="ar-SA"/>
        </w:rPr>
      </w:pPr>
      <w:r>
        <w:rPr>
          <w:rFonts w:hint="default" w:ascii="方正仿宋_GBK" w:hAnsi="宋体" w:eastAsia="方正仿宋_GBK" w:cs="Times New Roman"/>
          <w:b w:val="0"/>
          <w:color w:val="auto"/>
          <w:kern w:val="2"/>
          <w:sz w:val="24"/>
          <w:szCs w:val="24"/>
          <w:highlight w:val="none"/>
          <w:lang w:val="en-US" w:eastAsia="zh-CN" w:bidi="ar-SA"/>
        </w:rPr>
        <w:t>2</w:t>
      </w:r>
      <w:r>
        <w:rPr>
          <w:rFonts w:hint="eastAsia" w:ascii="方正仿宋_GBK" w:hAnsi="宋体" w:eastAsia="方正仿宋_GBK" w:cs="Times New Roman"/>
          <w:b w:val="0"/>
          <w:color w:val="auto"/>
          <w:kern w:val="2"/>
          <w:sz w:val="24"/>
          <w:szCs w:val="24"/>
          <w:highlight w:val="none"/>
          <w:lang w:val="en-US" w:eastAsia="zh-CN" w:bidi="ar-SA"/>
        </w:rPr>
        <w:t>、</w:t>
      </w:r>
      <w:r>
        <w:rPr>
          <w:rFonts w:hint="default" w:ascii="方正仿宋_GBK" w:hAnsi="宋体" w:eastAsia="方正仿宋_GBK" w:cs="Times New Roman"/>
          <w:b w:val="0"/>
          <w:color w:val="auto"/>
          <w:kern w:val="2"/>
          <w:sz w:val="24"/>
          <w:szCs w:val="24"/>
          <w:highlight w:val="none"/>
          <w:lang w:val="en-US" w:eastAsia="zh-CN" w:bidi="ar-SA"/>
        </w:rPr>
        <w:t>竣工验收程序：发包人收到竣工验收报告后15天内组织有关单位验收，并在验收后15天内给予认可或提出整改意见。承包人按要求整改，并承担由自身原因造成整改的费用。</w:t>
      </w:r>
    </w:p>
    <w:p>
      <w:pPr>
        <w:pStyle w:val="34"/>
        <w:spacing w:line="400" w:lineRule="exact"/>
        <w:ind w:firstLine="360" w:firstLineChars="150"/>
        <w:outlineLvl w:val="2"/>
        <w:rPr>
          <w:rFonts w:hint="default" w:ascii="方正仿宋_GBK" w:hAnsi="宋体" w:eastAsia="方正仿宋_GBK" w:cs="Times New Roman"/>
          <w:b w:val="0"/>
          <w:color w:val="auto"/>
          <w:kern w:val="2"/>
          <w:sz w:val="24"/>
          <w:szCs w:val="24"/>
          <w:highlight w:val="none"/>
          <w:lang w:val="en-US" w:eastAsia="zh-CN" w:bidi="ar-SA"/>
        </w:rPr>
      </w:pPr>
      <w:r>
        <w:rPr>
          <w:rFonts w:hint="default" w:ascii="方正仿宋_GBK" w:hAnsi="宋体" w:eastAsia="方正仿宋_GBK" w:cs="Times New Roman"/>
          <w:b w:val="0"/>
          <w:color w:val="auto"/>
          <w:kern w:val="2"/>
          <w:sz w:val="24"/>
          <w:szCs w:val="24"/>
          <w:highlight w:val="none"/>
          <w:lang w:val="en-US" w:eastAsia="zh-CN" w:bidi="ar-SA"/>
        </w:rPr>
        <w:t>3</w:t>
      </w:r>
      <w:r>
        <w:rPr>
          <w:rFonts w:hint="eastAsia" w:ascii="方正仿宋_GBK" w:hAnsi="宋体" w:eastAsia="方正仿宋_GBK" w:cs="Times New Roman"/>
          <w:b w:val="0"/>
          <w:color w:val="auto"/>
          <w:kern w:val="2"/>
          <w:sz w:val="24"/>
          <w:szCs w:val="24"/>
          <w:highlight w:val="none"/>
          <w:lang w:val="en-US" w:eastAsia="zh-CN" w:bidi="ar-SA"/>
        </w:rPr>
        <w:t>、</w:t>
      </w:r>
      <w:r>
        <w:rPr>
          <w:rFonts w:hint="default" w:ascii="方正仿宋_GBK" w:hAnsi="宋体" w:eastAsia="方正仿宋_GBK" w:cs="Times New Roman"/>
          <w:b w:val="0"/>
          <w:color w:val="auto"/>
          <w:kern w:val="2"/>
          <w:sz w:val="24"/>
          <w:szCs w:val="24"/>
          <w:highlight w:val="none"/>
          <w:lang w:val="en-US" w:eastAsia="zh-CN" w:bidi="ar-SA"/>
        </w:rPr>
        <w:t>验收合格后供应商在应在30天内办理结算手续，逾期给发包方造成的损失由供应商承担。</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二</w:t>
      </w:r>
      <w:r>
        <w:rPr>
          <w:rFonts w:hint="eastAsia" w:ascii="方正仿宋_GBK" w:hAnsi="宋体" w:eastAsia="方正仿宋_GBK"/>
          <w:color w:val="auto"/>
          <w:sz w:val="24"/>
          <w:highlight w:val="none"/>
        </w:rPr>
        <w:t>、报价要求</w:t>
      </w:r>
      <w:bookmarkEnd w:id="70"/>
      <w:bookmarkEnd w:id="71"/>
      <w:bookmarkEnd w:id="72"/>
      <w:bookmarkEnd w:id="73"/>
      <w:bookmarkEnd w:id="74"/>
    </w:p>
    <w:p>
      <w:pPr>
        <w:adjustRightInd w:val="0"/>
        <w:snapToGrid w:val="0"/>
        <w:spacing w:line="400" w:lineRule="exact"/>
        <w:ind w:firstLine="480" w:firstLineChars="200"/>
        <w:jc w:val="left"/>
        <w:rPr>
          <w:rFonts w:hint="eastAsia" w:ascii="方正仿宋_GBK" w:hAnsi="方正仿宋_GBK" w:eastAsia="方正仿宋_GBK" w:cs="方正仿宋_GBK"/>
          <w:color w:val="auto"/>
          <w:kern w:val="0"/>
          <w:sz w:val="24"/>
          <w:szCs w:val="24"/>
          <w:highlight w:val="none"/>
          <w:lang w:val="zh-TW"/>
        </w:rPr>
      </w:pPr>
      <w:r>
        <w:rPr>
          <w:rFonts w:hint="eastAsia" w:ascii="方正仿宋_GBK" w:hAnsi="方正仿宋_GBK" w:eastAsia="方正仿宋_GBK" w:cs="方正仿宋_GBK"/>
          <w:color w:val="auto"/>
          <w:kern w:val="0"/>
          <w:sz w:val="24"/>
          <w:szCs w:val="24"/>
          <w:highlight w:val="none"/>
          <w:lang w:val="zh-TW"/>
        </w:rPr>
        <w:t>本次项目为总价包干，供应商应充分考虑项目的施工条件、施工难度、材料转运等因素对工程费用的影响，供应商的报价应包括本项目的直接费、间接费、施工设备、劳务、管理、材料、水、电、二次转运、利润、税金及政策性文件规定的完成本工程所需的全部费用。未明列需求的，由供应商自行计算。因供应商自身原因造成漏报、少报皆由其自行承担责任，采购人不再补偿。</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75" w:name="_Toc11000"/>
      <w:bookmarkStart w:id="76" w:name="_Toc106034785"/>
      <w:bookmarkStart w:id="77" w:name="_Toc65660345"/>
      <w:bookmarkStart w:id="78" w:name="_Toc9192"/>
      <w:bookmarkStart w:id="79" w:name="_Toc7562"/>
      <w:r>
        <w:rPr>
          <w:rFonts w:hint="eastAsia" w:ascii="方正仿宋_GBK" w:hAnsi="宋体" w:eastAsia="方正仿宋_GBK"/>
          <w:color w:val="auto"/>
          <w:sz w:val="24"/>
          <w:highlight w:val="none"/>
          <w:lang w:val="en-US" w:eastAsia="zh-CN"/>
        </w:rPr>
        <w:t>三</w:t>
      </w:r>
      <w:r>
        <w:rPr>
          <w:rFonts w:hint="eastAsia" w:ascii="方正仿宋_GBK" w:hAnsi="宋体" w:eastAsia="方正仿宋_GBK"/>
          <w:color w:val="auto"/>
          <w:sz w:val="24"/>
          <w:highlight w:val="none"/>
        </w:rPr>
        <w:t>、付款方式</w:t>
      </w:r>
      <w:bookmarkEnd w:id="75"/>
      <w:bookmarkEnd w:id="76"/>
      <w:bookmarkEnd w:id="77"/>
      <w:bookmarkEnd w:id="78"/>
      <w:bookmarkEnd w:id="79"/>
    </w:p>
    <w:p>
      <w:pPr>
        <w:pStyle w:val="4"/>
        <w:adjustRightInd w:val="0"/>
        <w:snapToGrid w:val="0"/>
        <w:spacing w:before="0" w:after="0" w:line="400" w:lineRule="exact"/>
        <w:ind w:firstLine="480" w:firstLineChars="200"/>
        <w:rPr>
          <w:rFonts w:hint="eastAsia" w:ascii="方正仿宋_GBK" w:hAnsi="方正仿宋_GBK" w:eastAsia="方正仿宋_GBK" w:cs="方正仿宋_GBK"/>
          <w:b w:val="0"/>
          <w:color w:val="auto"/>
          <w:kern w:val="0"/>
          <w:sz w:val="24"/>
          <w:szCs w:val="24"/>
          <w:highlight w:val="none"/>
          <w:lang w:val="en-US" w:eastAsia="zh-CN" w:bidi="ar-SA"/>
        </w:rPr>
      </w:pPr>
      <w:bookmarkStart w:id="80" w:name="_Toc65660346"/>
      <w:bookmarkStart w:id="81" w:name="_Toc3786"/>
      <w:bookmarkStart w:id="82" w:name="_Toc106034786"/>
      <w:bookmarkStart w:id="83" w:name="_Toc24751"/>
      <w:bookmarkStart w:id="84" w:name="_Toc7228"/>
      <w:r>
        <w:rPr>
          <w:rFonts w:hint="eastAsia" w:ascii="方正仿宋_GBK" w:hAnsi="方正仿宋_GBK" w:eastAsia="方正仿宋_GBK" w:cs="方正仿宋_GBK"/>
          <w:b w:val="0"/>
          <w:color w:val="auto"/>
          <w:kern w:val="0"/>
          <w:sz w:val="24"/>
          <w:szCs w:val="24"/>
          <w:highlight w:val="none"/>
          <w:lang w:val="en-US" w:eastAsia="zh-CN" w:bidi="ar-SA"/>
        </w:rPr>
        <w:t>工程完工验收合格后，承包人提交全套完工资料，出具正式发票，发包人于10个工作日内一次性全额支付工程款项。</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四、质量要求</w:t>
      </w:r>
    </w:p>
    <w:p>
      <w:pPr>
        <w:ind w:firstLine="480" w:firstLineChars="200"/>
        <w:rPr>
          <w:rFonts w:hint="eastAsia" w:ascii="方正仿宋_GBK" w:hAnsi="方正仿宋_GBK" w:eastAsia="方正仿宋_GBK" w:cs="方正仿宋_GBK"/>
          <w:b w:val="0"/>
          <w:color w:val="auto"/>
          <w:kern w:val="0"/>
          <w:sz w:val="24"/>
          <w:szCs w:val="24"/>
          <w:highlight w:val="none"/>
          <w:lang w:val="en-US" w:eastAsia="zh-CN" w:bidi="ar-SA"/>
        </w:rPr>
      </w:pPr>
      <w:r>
        <w:rPr>
          <w:rFonts w:hint="eastAsia" w:ascii="方正仿宋_GBK" w:hAnsi="方正仿宋_GBK" w:eastAsia="方正仿宋_GBK" w:cs="方正仿宋_GBK"/>
          <w:b w:val="0"/>
          <w:color w:val="auto"/>
          <w:kern w:val="0"/>
          <w:sz w:val="24"/>
          <w:szCs w:val="24"/>
          <w:highlight w:val="none"/>
          <w:lang w:val="en-US" w:eastAsia="zh-CN" w:bidi="ar-SA"/>
        </w:rPr>
        <w:t>达到国家现行有关施工质量验收规范要求，并达到合格标准。</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五、履约担保</w:t>
      </w:r>
    </w:p>
    <w:p>
      <w:pPr>
        <w:pStyle w:val="4"/>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1、履约担保形式：转账或者保函。</w:t>
      </w:r>
    </w:p>
    <w:p>
      <w:pPr>
        <w:pStyle w:val="4"/>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2、金额：合同金额的10%。</w:t>
      </w:r>
    </w:p>
    <w:p>
      <w:pPr>
        <w:pStyle w:val="4"/>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3、提交方式：成交供应商应在收到中标通知书后10个工作日内，按成交金额的10%向采购人提交履约保证金或者提交履约保函。</w:t>
      </w:r>
    </w:p>
    <w:p>
      <w:pPr>
        <w:pStyle w:val="4"/>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4、退还方式：项目验收合格后10个工作日内一次性无息退还。</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六</w:t>
      </w:r>
      <w:r>
        <w:rPr>
          <w:rFonts w:hint="eastAsia" w:ascii="方正仿宋_GBK" w:hAnsi="宋体" w:eastAsia="方正仿宋_GBK"/>
          <w:color w:val="auto"/>
          <w:sz w:val="24"/>
          <w:highlight w:val="none"/>
        </w:rPr>
        <w:t>、知识产权</w:t>
      </w:r>
      <w:bookmarkEnd w:id="80"/>
      <w:bookmarkEnd w:id="81"/>
      <w:bookmarkEnd w:id="82"/>
      <w:bookmarkEnd w:id="83"/>
      <w:bookmarkEnd w:id="84"/>
    </w:p>
    <w:p>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本项目知识产权归采购人所有。</w:t>
      </w:r>
    </w:p>
    <w:p>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4"/>
        <w:adjustRightInd w:val="0"/>
        <w:snapToGrid w:val="0"/>
        <w:spacing w:before="0" w:after="0" w:line="400" w:lineRule="exact"/>
        <w:ind w:firstLine="482" w:firstLineChars="200"/>
        <w:jc w:val="left"/>
        <w:rPr>
          <w:rFonts w:hint="eastAsia" w:ascii="方正仿宋_GBK" w:hAnsi="方正仿宋_GBK" w:eastAsia="方正仿宋_GBK" w:cs="方正仿宋_GBK"/>
          <w:color w:val="auto"/>
          <w:sz w:val="24"/>
          <w:highlight w:val="none"/>
        </w:rPr>
      </w:pPr>
      <w:bookmarkStart w:id="85" w:name="_Toc31910"/>
      <w:bookmarkStart w:id="86" w:name="_Toc18104"/>
      <w:bookmarkStart w:id="87" w:name="_Toc25707"/>
      <w:bookmarkStart w:id="88" w:name="_Toc108013105"/>
      <w:bookmarkStart w:id="89" w:name="_Toc19427"/>
      <w:bookmarkStart w:id="90" w:name="_Toc947"/>
      <w:bookmarkStart w:id="91" w:name="_Toc2954"/>
      <w:bookmarkStart w:id="92" w:name="_Toc466546918"/>
      <w:bookmarkStart w:id="93" w:name="_Toc21248"/>
      <w:bookmarkStart w:id="94" w:name="_Toc65660348"/>
      <w:bookmarkStart w:id="95" w:name="_Toc106034788"/>
      <w:bookmarkStart w:id="96" w:name="_Toc31659"/>
      <w:bookmarkStart w:id="97" w:name="_Toc23902"/>
      <w:r>
        <w:rPr>
          <w:rFonts w:hint="eastAsia" w:ascii="方正仿宋_GBK" w:hAnsi="方正仿宋_GBK" w:eastAsia="方正仿宋_GBK" w:cs="方正仿宋_GBK"/>
          <w:color w:val="auto"/>
          <w:sz w:val="24"/>
          <w:highlight w:val="none"/>
          <w:lang w:val="en-US" w:eastAsia="zh-CN"/>
        </w:rPr>
        <w:t>七</w:t>
      </w:r>
      <w:r>
        <w:rPr>
          <w:rFonts w:hint="eastAsia" w:ascii="方正仿宋_GBK" w:hAnsi="方正仿宋_GBK" w:eastAsia="方正仿宋_GBK" w:cs="方正仿宋_GBK"/>
          <w:color w:val="auto"/>
          <w:sz w:val="24"/>
          <w:highlight w:val="none"/>
        </w:rPr>
        <w:t>、项目风险管控</w:t>
      </w:r>
      <w:bookmarkEnd w:id="85"/>
      <w:bookmarkEnd w:id="86"/>
      <w:bookmarkEnd w:id="87"/>
      <w:bookmarkEnd w:id="88"/>
      <w:bookmarkEnd w:id="89"/>
      <w:bookmarkEnd w:id="90"/>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bookmarkStart w:id="98" w:name="_Toc6830"/>
      <w:r>
        <w:rPr>
          <w:rFonts w:hint="eastAsia" w:ascii="方正仿宋_GBK" w:hAnsi="方正仿宋_GBK" w:eastAsia="方正仿宋_GBK" w:cs="方正仿宋_GBK"/>
          <w:color w:val="auto"/>
          <w:sz w:val="24"/>
          <w:szCs w:val="24"/>
          <w:highlight w:val="none"/>
        </w:rPr>
        <w:t>3.合同已签订的，如果相关变化导致不能实现合同目的或合同价款等实质性条款变化，针对变化部分按不可抗力事件处理，采购人与供应商协商后解除合同或签订补充协议。</w:t>
      </w:r>
      <w:bookmarkEnd w:id="91"/>
      <w:bookmarkEnd w:id="92"/>
      <w:bookmarkEnd w:id="98"/>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八</w:t>
      </w: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lang w:val="en-US" w:eastAsia="zh-CN"/>
        </w:rPr>
        <w:t>工期违约责任</w:t>
      </w:r>
    </w:p>
    <w:p>
      <w:pPr>
        <w:pStyle w:val="4"/>
        <w:adjustRightInd w:val="0"/>
        <w:snapToGrid w:val="0"/>
        <w:spacing w:before="0" w:after="0" w:line="400" w:lineRule="exact"/>
        <w:ind w:firstLine="480" w:firstLineChars="200"/>
        <w:rPr>
          <w:rFonts w:hint="eastAsia" w:ascii="方正仿宋_GBK" w:hAnsi="宋体" w:eastAsia="方正仿宋_GBK"/>
          <w:b w:val="0"/>
          <w:bCs/>
          <w:color w:val="auto"/>
          <w:sz w:val="24"/>
          <w:lang w:eastAsia="zh-CN"/>
        </w:rPr>
      </w:pPr>
      <w:r>
        <w:rPr>
          <w:rFonts w:hint="eastAsia" w:ascii="方正仿宋_GBK" w:hAnsi="宋体" w:eastAsia="方正仿宋_GBK"/>
          <w:b w:val="0"/>
          <w:bCs/>
          <w:color w:val="auto"/>
          <w:sz w:val="24"/>
          <w:lang w:eastAsia="zh-CN"/>
        </w:rPr>
        <w:t>1、</w:t>
      </w:r>
      <w:r>
        <w:rPr>
          <w:rFonts w:hint="eastAsia" w:ascii="方正仿宋_GBK" w:hAnsi="宋体" w:eastAsia="方正仿宋_GBK"/>
          <w:b w:val="0"/>
          <w:bCs/>
          <w:color w:val="auto"/>
          <w:sz w:val="24"/>
          <w:lang w:val="en-US" w:eastAsia="zh-CN"/>
        </w:rPr>
        <w:t>由于成交供应商原因导致项目超出约定工期的，每迟交一天,按1000元/日扣除成交供应商违约金，累计违约金上限为签约合同价的10%，逾期满【30】日的，采购人有权解除合同，成交供应商应赔偿给采购人造成的损失，并自行承担相关费用。</w:t>
      </w:r>
    </w:p>
    <w:p>
      <w:pPr>
        <w:pStyle w:val="4"/>
        <w:adjustRightInd w:val="0"/>
        <w:snapToGrid w:val="0"/>
        <w:spacing w:before="0" w:after="0" w:line="400" w:lineRule="exact"/>
        <w:ind w:firstLine="480" w:firstLineChars="200"/>
        <w:rPr>
          <w:rFonts w:hint="eastAsia" w:ascii="方正仿宋_GBK" w:hAnsi="宋体" w:eastAsia="方正仿宋_GBK"/>
          <w:b w:val="0"/>
          <w:bCs/>
          <w:color w:val="auto"/>
          <w:sz w:val="24"/>
          <w:lang w:eastAsia="zh-CN"/>
        </w:rPr>
      </w:pPr>
      <w:r>
        <w:rPr>
          <w:rFonts w:hint="eastAsia" w:ascii="方正仿宋_GBK" w:hAnsi="宋体" w:eastAsia="方正仿宋_GBK"/>
          <w:b w:val="0"/>
          <w:bCs/>
          <w:color w:val="auto"/>
          <w:sz w:val="24"/>
          <w:lang w:eastAsia="zh-CN"/>
        </w:rPr>
        <w:t>2、</w:t>
      </w:r>
      <w:r>
        <w:rPr>
          <w:rFonts w:hint="eastAsia" w:ascii="方正仿宋_GBK" w:hAnsi="宋体" w:eastAsia="方正仿宋_GBK"/>
          <w:b w:val="0"/>
          <w:bCs/>
          <w:color w:val="auto"/>
          <w:sz w:val="24"/>
          <w:lang w:val="en-US" w:eastAsia="zh-CN"/>
        </w:rPr>
        <w:t>成交供应商实施项目未达到本项目要求的，成交供应商应及时予以整改。成交供应商未及时整改或者整改后仍不符合要求的，采购人有权扣除履约保证金、解除合同，成交供应商自行承担相关费用。</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九</w:t>
      </w:r>
      <w:r>
        <w:rPr>
          <w:rFonts w:hint="eastAsia" w:ascii="方正仿宋_GBK" w:hAnsi="宋体" w:eastAsia="方正仿宋_GBK"/>
          <w:color w:val="auto"/>
          <w:sz w:val="24"/>
          <w:highlight w:val="none"/>
          <w:lang w:eastAsia="zh-CN"/>
        </w:rPr>
        <w:t>、合同争议</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项目执行中，如发生争议由双方协商解决，协商不成向甲方所在地具有管辖权人民法院提请诉讼。</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十</w:t>
      </w:r>
      <w:r>
        <w:rPr>
          <w:rFonts w:hint="eastAsia" w:ascii="方正仿宋_GBK" w:hAnsi="宋体" w:eastAsia="方正仿宋_GBK"/>
          <w:color w:val="auto"/>
          <w:sz w:val="24"/>
          <w:highlight w:val="none"/>
        </w:rPr>
        <w:t>、其他</w:t>
      </w:r>
      <w:bookmarkEnd w:id="93"/>
      <w:bookmarkEnd w:id="94"/>
      <w:bookmarkEnd w:id="95"/>
      <w:bookmarkEnd w:id="96"/>
      <w:bookmarkEnd w:id="97"/>
    </w:p>
    <w:p>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1、供应商必须对以上条款和服务承诺明确列出，承诺内容必须达到要求。</w:t>
      </w:r>
    </w:p>
    <w:p>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2、其他未尽事宜由供需双方在采购合同中详细约定。</w:t>
      </w:r>
    </w:p>
    <w:p>
      <w:pPr>
        <w:snapToGrid w:val="0"/>
        <w:spacing w:line="400" w:lineRule="exact"/>
        <w:ind w:firstLine="540"/>
        <w:rPr>
          <w:rFonts w:hint="eastAsia" w:ascii="方正仿宋_GBK" w:eastAsia="方正仿宋_GBK"/>
          <w:color w:val="auto"/>
          <w:sz w:val="24"/>
          <w:szCs w:val="24"/>
          <w:highlight w:val="none"/>
        </w:rPr>
      </w:pPr>
    </w:p>
    <w:p>
      <w:pPr>
        <w:pStyle w:val="4"/>
        <w:spacing w:before="0" w:after="0" w:line="360" w:lineRule="auto"/>
        <w:jc w:val="center"/>
        <w:rPr>
          <w:rFonts w:hint="eastAsia" w:ascii="方正小标宋_GBK" w:eastAsia="方正小标宋_GBK"/>
          <w:b w:val="0"/>
          <w:color w:val="auto"/>
          <w:sz w:val="36"/>
          <w:szCs w:val="30"/>
          <w:highlight w:val="none"/>
        </w:rPr>
      </w:pPr>
      <w:r>
        <w:rPr>
          <w:rFonts w:ascii="方正小标宋_GBK" w:eastAsia="方正小标宋_GBK"/>
          <w:b w:val="0"/>
          <w:color w:val="auto"/>
          <w:sz w:val="36"/>
          <w:szCs w:val="30"/>
          <w:highlight w:val="none"/>
        </w:rPr>
        <w:br w:type="page"/>
      </w:r>
      <w:bookmarkStart w:id="99" w:name="_Toc65660349"/>
      <w:bookmarkStart w:id="100" w:name="_Toc106034789"/>
      <w:bookmarkStart w:id="101" w:name="_Toc16123"/>
      <w:bookmarkStart w:id="102" w:name="_Toc24195"/>
      <w:bookmarkStart w:id="103" w:name="_Toc31282"/>
      <w:r>
        <w:rPr>
          <w:rFonts w:hint="eastAsia" w:ascii="方正小标宋_GBK" w:eastAsia="方正小标宋_GBK"/>
          <w:b w:val="0"/>
          <w:color w:val="auto"/>
          <w:sz w:val="36"/>
          <w:szCs w:val="30"/>
          <w:highlight w:val="none"/>
        </w:rPr>
        <w:t>第四篇  采购程序、评定成交的标准、无效报价及采购终止</w:t>
      </w:r>
      <w:bookmarkEnd w:id="99"/>
      <w:bookmarkEnd w:id="100"/>
      <w:bookmarkEnd w:id="101"/>
      <w:bookmarkEnd w:id="102"/>
      <w:bookmarkEnd w:id="103"/>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04" w:name="_Toc65660350"/>
      <w:bookmarkStart w:id="105" w:name="_Toc27932"/>
      <w:bookmarkStart w:id="106" w:name="_Toc106034790"/>
      <w:bookmarkStart w:id="107" w:name="_Toc9361"/>
      <w:bookmarkStart w:id="108" w:name="_Toc5167"/>
      <w:bookmarkStart w:id="109" w:name="_Toc64732012"/>
      <w:r>
        <w:rPr>
          <w:rFonts w:hint="eastAsia" w:ascii="方正仿宋_GBK" w:hAnsi="宋体" w:eastAsia="方正仿宋_GBK"/>
          <w:color w:val="auto"/>
          <w:sz w:val="24"/>
          <w:highlight w:val="none"/>
        </w:rPr>
        <w:t>一、采购程序</w:t>
      </w:r>
      <w:bookmarkEnd w:id="104"/>
      <w:bookmarkEnd w:id="105"/>
      <w:bookmarkEnd w:id="106"/>
      <w:bookmarkEnd w:id="107"/>
      <w:bookmarkEnd w:id="108"/>
      <w:bookmarkEnd w:id="109"/>
    </w:p>
    <w:p>
      <w:pPr>
        <w:pStyle w:val="34"/>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比价</w:t>
      </w:r>
      <w:r>
        <w:rPr>
          <w:rFonts w:hint="eastAsia" w:ascii="方正仿宋_GBK" w:hAnsi="宋体" w:eastAsia="方正仿宋_GBK"/>
          <w:color w:val="auto"/>
          <w:sz w:val="24"/>
          <w:szCs w:val="24"/>
          <w:highlight w:val="none"/>
        </w:rPr>
        <w:t>按</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规定的时间和地点进行。供应商须有法定代表人（或其授权代表）或自然人参加并签到。</w:t>
      </w:r>
    </w:p>
    <w:p>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（二）由本项目</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 xml:space="preserve">小组对各供应商的资格条件、实质性响应等进行审查。 </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1.资格性审查。依据法律法规和采购文件的规定，对响应文件中的资格证明材料等进行审查。资格性审查内容如下：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2835"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5267"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s="仿宋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5267" w:type="dxa"/>
            <w:vMerge w:val="restart"/>
            <w:noWrap w:val="0"/>
            <w:vAlign w:val="center"/>
          </w:tcPr>
          <w:p>
            <w:pPr>
              <w:rPr>
                <w:rFonts w:hint="eastAsia" w:ascii="方正仿宋_GBK" w:hAnsi="仿宋" w:eastAsia="方正仿宋_GBK"/>
                <w:b/>
                <w:color w:val="auto"/>
                <w:sz w:val="21"/>
                <w:szCs w:val="21"/>
                <w:highlight w:val="none"/>
              </w:rPr>
            </w:pPr>
            <w:r>
              <w:rPr>
                <w:rFonts w:hint="eastAsia" w:ascii="方正仿宋_GBK" w:hAnsi="仿宋" w:eastAsia="方正仿宋_GBK"/>
                <w:color w:val="auto"/>
                <w:sz w:val="21"/>
                <w:szCs w:val="21"/>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rPr>
            </w:pPr>
          </w:p>
        </w:tc>
        <w:tc>
          <w:tcPr>
            <w:tcW w:w="2835"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5267" w:type="dxa"/>
            <w:noWrap w:val="0"/>
            <w:vAlign w:val="center"/>
          </w:tcPr>
          <w:p>
            <w:pPr>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rPr>
            </w:pPr>
          </w:p>
        </w:tc>
        <w:tc>
          <w:tcPr>
            <w:tcW w:w="2835"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5267"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按“第一篇三、供应商资格要求（二）本项目的特定资格要求”的要求提交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bl>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w:t>
      </w:r>
      <w:r>
        <w:rPr>
          <w:rFonts w:ascii="方正仿宋_GBK" w:hAnsi="宋体" w:eastAsia="方正仿宋_GBK" w:cs="宋体"/>
          <w:color w:val="auto"/>
          <w:kern w:val="0"/>
          <w:sz w:val="24"/>
          <w:szCs w:val="24"/>
          <w:highlight w:val="none"/>
        </w:rPr>
        <w:t>中华人民共和国政府采购法实施条例</w:t>
      </w:r>
      <w:r>
        <w:rPr>
          <w:rFonts w:hint="eastAsia" w:ascii="方正仿宋_GBK" w:hAnsi="宋体" w:eastAsia="方正仿宋_GBK" w:cs="宋体"/>
          <w:color w:val="auto"/>
          <w:kern w:val="0"/>
          <w:sz w:val="24"/>
          <w:szCs w:val="24"/>
          <w:highlight w:val="none"/>
        </w:rPr>
        <w:t>》第十九条“参加政府采购活动前三年内，在经营活动中没有重大违法记录”中“重大违法记录”</w:t>
      </w:r>
      <w:r>
        <w:rPr>
          <w:rFonts w:ascii="方正仿宋_GBK" w:hAnsi="宋体" w:eastAsia="方正仿宋_GBK" w:cs="宋体"/>
          <w:color w:val="auto"/>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highlight w:val="none"/>
        </w:rPr>
        <w:t>行政处罚中“较大数额”的认定标准，按照“</w:t>
      </w:r>
      <w:r>
        <w:rPr>
          <w:rFonts w:ascii="方正仿宋_GBK" w:hAnsi="宋体" w:eastAsia="方正仿宋_GBK" w:cs="宋体"/>
          <w:color w:val="auto"/>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highlight w:val="none"/>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以联合体形式参与比价的，共同联合协议中应确定主办方（主体），</w:t>
      </w:r>
      <w:r>
        <w:rPr>
          <w:rFonts w:hint="eastAsia" w:ascii="方正仿宋_GBK" w:hAnsi="宋体" w:eastAsia="方正仿宋_GBK"/>
          <w:color w:val="auto"/>
          <w:sz w:val="24"/>
          <w:highlight w:val="none"/>
        </w:rPr>
        <w:t>代表联合体进行报价和澄清。</w:t>
      </w:r>
      <w:r>
        <w:rPr>
          <w:rFonts w:hint="eastAsia" w:ascii="方正仿宋_GBK" w:hAnsi="宋体" w:eastAsia="方正仿宋_GBK" w:cs="宋体"/>
          <w:color w:val="auto"/>
          <w:kern w:val="0"/>
          <w:sz w:val="24"/>
          <w:szCs w:val="24"/>
          <w:highlight w:val="none"/>
        </w:rPr>
        <w:t>联合体各方均应满足供应商资格要求（详见“第一篇”）。</w:t>
      </w:r>
    </w:p>
    <w:p>
      <w:pPr>
        <w:snapToGrid w:val="0"/>
        <w:spacing w:line="400" w:lineRule="exact"/>
        <w:ind w:firstLine="480" w:firstLineChars="200"/>
        <w:rPr>
          <w:rFonts w:hint="eastAsia" w:ascii="方正仿宋_GBK" w:eastAsia="方正仿宋_GBK"/>
          <w:color w:val="auto"/>
          <w:kern w:val="0"/>
          <w:sz w:val="24"/>
          <w:szCs w:val="24"/>
          <w:highlight w:val="none"/>
        </w:rPr>
      </w:pPr>
      <w:r>
        <w:rPr>
          <w:rFonts w:hint="eastAsia" w:ascii="方正仿宋_GBK" w:hAnsi="宋体" w:eastAsia="方正仿宋_GBK"/>
          <w:color w:val="auto"/>
          <w:sz w:val="24"/>
          <w:szCs w:val="24"/>
          <w:highlight w:val="none"/>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2694" w:type="dxa"/>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审查因素</w:t>
            </w:r>
          </w:p>
        </w:tc>
        <w:tc>
          <w:tcPr>
            <w:tcW w:w="6259" w:type="dxa"/>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269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响应文件签署或盖章</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6259" w:type="dxa"/>
            <w:noWrap w:val="0"/>
            <w:vAlign w:val="center"/>
          </w:tcPr>
          <w:p>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269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份数</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269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6259" w:type="dxa"/>
            <w:noWrap w:val="0"/>
            <w:vAlign w:val="center"/>
          </w:tcPr>
          <w:p>
            <w:pPr>
              <w:pStyle w:val="33"/>
              <w:rPr>
                <w:rFonts w:hint="eastAsia" w:ascii="方正仿宋_GBK" w:hAnsi="宋体" w:eastAsia="方正仿宋_GBK" w:cs="宋体"/>
                <w:color w:val="auto"/>
                <w:kern w:val="0"/>
                <w:sz w:val="21"/>
                <w:szCs w:val="21"/>
                <w:highlight w:val="none"/>
                <w:lang w:val="en-US" w:eastAsia="zh-CN"/>
              </w:rPr>
            </w:pPr>
            <w:r>
              <w:rPr>
                <w:rFonts w:hint="eastAsia" w:ascii="方正仿宋_GBK" w:hAnsi="宋体" w:eastAsia="方正仿宋_GBK" w:cs="宋体"/>
                <w:color w:val="auto"/>
                <w:kern w:val="0"/>
                <w:sz w:val="21"/>
                <w:szCs w:val="21"/>
                <w:highlight w:val="none"/>
                <w:lang w:val="en-US" w:eastAsia="zh-CN"/>
              </w:rPr>
              <w:t>对</w:t>
            </w:r>
            <w:r>
              <w:rPr>
                <w:rFonts w:hint="eastAsia" w:ascii="方正仿宋_GBK" w:hAnsi="宋体" w:eastAsia="方正仿宋_GBK" w:cs="仿宋_GB2312"/>
                <w:color w:val="auto"/>
                <w:sz w:val="21"/>
                <w:szCs w:val="21"/>
                <w:highlight w:val="none"/>
                <w:lang w:val="zh-CN" w:eastAsia="zh-CN"/>
              </w:rPr>
              <w:t>采购文件</w:t>
            </w:r>
            <w:r>
              <w:rPr>
                <w:rFonts w:hint="eastAsia" w:ascii="方正仿宋_GBK" w:hAnsi="宋体" w:eastAsia="方正仿宋_GBK" w:cs="宋体"/>
                <w:color w:val="auto"/>
                <w:kern w:val="0"/>
                <w:sz w:val="21"/>
                <w:szCs w:val="21"/>
                <w:highlight w:val="none"/>
                <w:lang w:val="en-US" w:eastAsia="zh-CN"/>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比价有效期</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响应文件及有关承诺文件有效期为提交响应文件截止时间起90天。</w:t>
            </w:r>
          </w:p>
        </w:tc>
      </w:tr>
    </w:tbl>
    <w:p>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（四）评审的依据为采购文件和响应文件（含有效的补充文件）。评审小组判断响应文件对采购文件的响应，仅基于响应文件本身而不靠外部证据。</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bookmarkStart w:id="110" w:name="_Toc11713"/>
      <w:bookmarkStart w:id="111" w:name="_Toc65660351"/>
      <w:bookmarkStart w:id="112" w:name="_Toc5149"/>
      <w:bookmarkStart w:id="113" w:name="_Toc30639"/>
      <w:bookmarkStart w:id="114" w:name="_Toc64732013"/>
      <w:bookmarkStart w:id="115" w:name="_Toc106034791"/>
      <w:r>
        <w:rPr>
          <w:rFonts w:hint="eastAsia" w:ascii="方正仿宋_GBK" w:hAnsi="宋体" w:eastAsia="方正仿宋_GBK"/>
          <w:color w:val="auto"/>
          <w:sz w:val="24"/>
          <w:highlight w:val="none"/>
        </w:rPr>
        <w:t>二、评定成交的标准</w:t>
      </w:r>
      <w:bookmarkEnd w:id="110"/>
      <w:bookmarkEnd w:id="111"/>
      <w:bookmarkEnd w:id="112"/>
      <w:bookmarkEnd w:id="113"/>
      <w:bookmarkEnd w:id="114"/>
      <w:bookmarkEnd w:id="115"/>
    </w:p>
    <w:p>
      <w:pPr>
        <w:pStyle w:val="34"/>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小组将依照本</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相关规定对技术（质量）和服务均能满足实质性响应要求的供应商所提交的报价按照由低到高的顺序提出3名以上成交候选人，并编写</w:t>
      </w:r>
      <w:r>
        <w:rPr>
          <w:rFonts w:hint="eastAsia" w:ascii="方正仿宋_GBK" w:hAnsi="宋体" w:eastAsia="方正仿宋_GBK"/>
          <w:color w:val="auto"/>
          <w:sz w:val="24"/>
          <w:szCs w:val="24"/>
          <w:highlight w:val="none"/>
          <w:lang w:eastAsia="zh-CN"/>
        </w:rPr>
        <w:t>结论意见（原则上由</w:t>
      </w:r>
      <w:r>
        <w:rPr>
          <w:rFonts w:hint="eastAsia" w:ascii="方正仿宋_GBK" w:hAnsi="宋体" w:eastAsia="方正仿宋_GBK"/>
          <w:color w:val="auto"/>
          <w:sz w:val="24"/>
          <w:szCs w:val="24"/>
          <w:highlight w:val="none"/>
        </w:rPr>
        <w:t>报价最低的供应商为成交供应商</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w:t>
      </w:r>
    </w:p>
    <w:p>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（二）若供应商的报价价格相同，</w:t>
      </w:r>
      <w:r>
        <w:rPr>
          <w:rFonts w:hint="eastAsia" w:ascii="方正仿宋_GBK" w:hAnsi="宋体" w:eastAsia="方正仿宋_GBK"/>
          <w:color w:val="auto"/>
          <w:sz w:val="24"/>
          <w:szCs w:val="24"/>
          <w:highlight w:val="none"/>
          <w:lang w:eastAsia="zh-CN"/>
        </w:rPr>
        <w:t>按现场随机抽取的方式确定顺序排列</w:t>
      </w:r>
      <w:r>
        <w:rPr>
          <w:rFonts w:hint="eastAsia" w:ascii="方正仿宋_GBK" w:hAnsi="宋体" w:eastAsia="方正仿宋_GBK"/>
          <w:color w:val="auto"/>
          <w:sz w:val="24"/>
          <w:szCs w:val="24"/>
          <w:highlight w:val="none"/>
        </w:rPr>
        <w:t>。</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（三）成交价格=成交供应商的报价。</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16" w:name="_Toc29113"/>
      <w:bookmarkStart w:id="117" w:name="_Toc65660352"/>
      <w:bookmarkStart w:id="118" w:name="_Toc12644"/>
      <w:bookmarkStart w:id="119" w:name="_Toc19473"/>
      <w:bookmarkStart w:id="120" w:name="_Toc106034792"/>
      <w:r>
        <w:rPr>
          <w:rFonts w:hint="eastAsia" w:ascii="方正仿宋_GBK" w:hAnsi="宋体" w:eastAsia="方正仿宋_GBK"/>
          <w:color w:val="auto"/>
          <w:sz w:val="24"/>
          <w:highlight w:val="none"/>
        </w:rPr>
        <w:t>三、无效</w:t>
      </w:r>
      <w:bookmarkEnd w:id="116"/>
      <w:bookmarkEnd w:id="117"/>
      <w:bookmarkEnd w:id="118"/>
      <w:r>
        <w:rPr>
          <w:rFonts w:hint="eastAsia" w:ascii="方正仿宋_GBK" w:hAnsi="宋体" w:eastAsia="方正仿宋_GBK"/>
          <w:color w:val="auto"/>
          <w:sz w:val="24"/>
          <w:highlight w:val="none"/>
        </w:rPr>
        <w:t>报价</w:t>
      </w:r>
      <w:bookmarkEnd w:id="119"/>
      <w:bookmarkEnd w:id="120"/>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供应商发生以下条款情况之一者，视为无效报价：</w:t>
      </w:r>
    </w:p>
    <w:p>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（一）供应商不符合规定的资格条件的；</w:t>
      </w:r>
    </w:p>
    <w:p>
      <w:pPr>
        <w:pStyle w:val="34"/>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（二）供应商未通过实质性响应审查的；</w:t>
      </w:r>
    </w:p>
    <w:p>
      <w:pPr>
        <w:pStyle w:val="34"/>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（三）供应商的法定代表人（或其授权代表）或自然人未参加谈判的；</w:t>
      </w:r>
    </w:p>
    <w:p>
      <w:pPr>
        <w:pStyle w:val="34"/>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四</w:t>
      </w:r>
      <w:r>
        <w:rPr>
          <w:rFonts w:hint="eastAsia" w:ascii="方正仿宋_GBK" w:hAnsi="宋体" w:eastAsia="方正仿宋_GBK"/>
          <w:color w:val="auto"/>
          <w:sz w:val="24"/>
          <w:szCs w:val="24"/>
          <w:highlight w:val="none"/>
        </w:rPr>
        <w:t>）供应商所提交的响应文件未按“第七篇响应文件格式要求”要求签署或盖章的；</w:t>
      </w:r>
    </w:p>
    <w:p>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五</w:t>
      </w:r>
      <w:r>
        <w:rPr>
          <w:rFonts w:hint="eastAsia" w:ascii="方正仿宋_GBK" w:hAnsi="宋体" w:eastAsia="方正仿宋_GBK"/>
          <w:color w:val="auto"/>
          <w:sz w:val="24"/>
          <w:szCs w:val="24"/>
          <w:highlight w:val="none"/>
        </w:rPr>
        <w:t>）供应商的报价超过采购预算或最高限价的；</w:t>
      </w:r>
    </w:p>
    <w:p>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六</w:t>
      </w:r>
      <w:r>
        <w:rPr>
          <w:rFonts w:hint="eastAsia" w:ascii="方正仿宋_GBK" w:hAnsi="宋体" w:eastAsia="方正仿宋_GBK"/>
          <w:color w:val="auto"/>
          <w:sz w:val="24"/>
          <w:szCs w:val="24"/>
          <w:highlight w:val="none"/>
        </w:rPr>
        <w:t>）供应商不接受</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小组修正后的价格的；</w:t>
      </w:r>
    </w:p>
    <w:p>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七</w:t>
      </w:r>
      <w:r>
        <w:rPr>
          <w:rFonts w:hint="eastAsia" w:ascii="方正仿宋_GBK" w:hAnsi="宋体" w:eastAsia="方正仿宋_GBK"/>
          <w:color w:val="auto"/>
          <w:sz w:val="24"/>
          <w:szCs w:val="24"/>
          <w:highlight w:val="none"/>
        </w:rPr>
        <w:t>）单位负责人为同一人或者存在直接控股、管理关系的不同供应商，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（包）报价的；</w:t>
      </w:r>
    </w:p>
    <w:p>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八</w:t>
      </w:r>
      <w:r>
        <w:rPr>
          <w:rFonts w:hint="eastAsia" w:ascii="方正仿宋_GBK" w:hAnsi="宋体" w:eastAsia="方正仿宋_GBK"/>
          <w:color w:val="auto"/>
          <w:sz w:val="24"/>
          <w:szCs w:val="24"/>
          <w:highlight w:val="none"/>
        </w:rPr>
        <w:t>）为采购项目提供整体设计、规范编制或者项目管理、监理、检测等服务的供应商再参加该采购项目的其他采购活动的；</w:t>
      </w:r>
    </w:p>
    <w:p>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九</w:t>
      </w:r>
      <w:r>
        <w:rPr>
          <w:rFonts w:hint="eastAsia" w:ascii="方正仿宋_GBK" w:hAnsi="宋体" w:eastAsia="方正仿宋_GBK"/>
          <w:color w:val="auto"/>
          <w:sz w:val="24"/>
          <w:szCs w:val="24"/>
          <w:highlight w:val="none"/>
        </w:rPr>
        <w:t>）同一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的货物，制造商参与报价，再委托代理商参与报价的；</w:t>
      </w:r>
    </w:p>
    <w:p>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十</w:t>
      </w:r>
      <w:r>
        <w:rPr>
          <w:rFonts w:hint="eastAsia" w:ascii="方正仿宋_GBK" w:hAnsi="宋体" w:eastAsia="方正仿宋_GBK"/>
          <w:color w:val="auto"/>
          <w:sz w:val="24"/>
          <w:szCs w:val="24"/>
          <w:highlight w:val="none"/>
        </w:rPr>
        <w:t>）供应商响应文件内容有与国家现行法律法规相违背的内容，或附有采购人无法接受条件的；</w:t>
      </w:r>
    </w:p>
    <w:p>
      <w:pPr>
        <w:pStyle w:val="34"/>
        <w:spacing w:line="4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）法律、法规和</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规定的其他无效情形。</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21" w:name="_Toc65660353"/>
      <w:bookmarkStart w:id="122" w:name="_Toc29298"/>
      <w:bookmarkStart w:id="123" w:name="_Toc28422"/>
      <w:bookmarkStart w:id="124" w:name="_Toc106034793"/>
      <w:bookmarkStart w:id="125" w:name="_Toc22716"/>
      <w:r>
        <w:rPr>
          <w:rFonts w:hint="eastAsia" w:ascii="方正仿宋_GBK" w:hAnsi="宋体" w:eastAsia="方正仿宋_GBK"/>
          <w:color w:val="auto"/>
          <w:sz w:val="24"/>
          <w:highlight w:val="none"/>
        </w:rPr>
        <w:t>四、采购终止</w:t>
      </w:r>
      <w:bookmarkEnd w:id="121"/>
      <w:bookmarkEnd w:id="122"/>
      <w:bookmarkEnd w:id="123"/>
      <w:bookmarkEnd w:id="124"/>
      <w:bookmarkEnd w:id="125"/>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（一）因情况变化，不再符合规定的限额以下比价采购方式适用情形的；</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（二）出现影响采购公正的违法、违规行为的；</w:t>
      </w:r>
    </w:p>
    <w:p>
      <w:pPr>
        <w:spacing w:line="520" w:lineRule="exact"/>
        <w:ind w:firstLine="480" w:firstLineChars="200"/>
        <w:rPr>
          <w:rFonts w:hint="eastAsia"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4"/>
        <w:spacing w:before="0" w:after="0" w:line="360" w:lineRule="auto"/>
        <w:jc w:val="center"/>
        <w:rPr>
          <w:rFonts w:hint="eastAsia" w:ascii="方正小标宋_GBK" w:eastAsia="方正小标宋_GBK"/>
          <w:b w:val="0"/>
          <w:color w:val="auto"/>
          <w:sz w:val="36"/>
          <w:szCs w:val="30"/>
          <w:highlight w:val="none"/>
        </w:rPr>
      </w:pPr>
      <w:r>
        <w:rPr>
          <w:rFonts w:ascii="方正仿宋_GBK" w:hAnsi="宋体" w:eastAsia="方正仿宋_GBK"/>
          <w:color w:val="auto"/>
          <w:sz w:val="24"/>
          <w:szCs w:val="24"/>
          <w:highlight w:val="none"/>
        </w:rPr>
        <w:br w:type="page"/>
      </w:r>
      <w:bookmarkStart w:id="126" w:name="_Toc10768"/>
      <w:bookmarkStart w:id="127" w:name="_Toc65660354"/>
      <w:bookmarkStart w:id="128" w:name="_Toc8916"/>
      <w:bookmarkStart w:id="129" w:name="_Toc106034794"/>
      <w:bookmarkStart w:id="130" w:name="_Toc20055"/>
      <w:r>
        <w:rPr>
          <w:rFonts w:hint="eastAsia" w:ascii="方正小标宋_GBK" w:eastAsia="方正小标宋_GBK"/>
          <w:b w:val="0"/>
          <w:color w:val="auto"/>
          <w:sz w:val="36"/>
          <w:szCs w:val="30"/>
          <w:highlight w:val="none"/>
        </w:rPr>
        <w:t>第五篇  供应商须知</w:t>
      </w:r>
      <w:bookmarkEnd w:id="126"/>
      <w:bookmarkEnd w:id="127"/>
      <w:bookmarkEnd w:id="128"/>
      <w:bookmarkEnd w:id="129"/>
      <w:bookmarkEnd w:id="130"/>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31" w:name="_Toc106034795"/>
      <w:bookmarkStart w:id="132" w:name="_Toc16524"/>
      <w:bookmarkStart w:id="133" w:name="_Toc2864"/>
      <w:bookmarkStart w:id="134" w:name="_Toc65660355"/>
      <w:bookmarkStart w:id="135" w:name="_Toc5290"/>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限额以下比价</w:t>
      </w:r>
      <w:r>
        <w:rPr>
          <w:rFonts w:hint="eastAsia" w:ascii="方正仿宋_GBK" w:hAnsi="宋体" w:eastAsia="方正仿宋_GBK"/>
          <w:color w:val="auto"/>
          <w:sz w:val="24"/>
          <w:highlight w:val="none"/>
        </w:rPr>
        <w:t>费用</w:t>
      </w:r>
      <w:bookmarkEnd w:id="131"/>
      <w:bookmarkEnd w:id="132"/>
      <w:bookmarkEnd w:id="133"/>
      <w:bookmarkEnd w:id="134"/>
      <w:bookmarkEnd w:id="135"/>
    </w:p>
    <w:p>
      <w:pPr>
        <w:pStyle w:val="14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参与报价的供应商应承担其编制响应文件与递交响应文件所涉及的一切费用，不论比价结果如何，采购人和采购代理机构在任何情况下无义务也无责任承担这些费用。</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36" w:name="_Toc106034796"/>
      <w:bookmarkStart w:id="137" w:name="_Toc65660356"/>
      <w:bookmarkStart w:id="138" w:name="_Toc5915"/>
      <w:bookmarkStart w:id="139" w:name="_Toc31739"/>
      <w:bookmarkStart w:id="140" w:name="_Toc31070"/>
      <w:r>
        <w:rPr>
          <w:rFonts w:hint="eastAsia" w:ascii="方正仿宋_GBK" w:hAnsi="宋体" w:eastAsia="方正仿宋_GBK"/>
          <w:color w:val="auto"/>
          <w:sz w:val="24"/>
          <w:highlight w:val="none"/>
        </w:rPr>
        <w:t>二、</w:t>
      </w:r>
      <w:r>
        <w:rPr>
          <w:rFonts w:hint="eastAsia" w:ascii="方正仿宋_GBK" w:hAnsi="宋体" w:eastAsia="方正仿宋_GBK"/>
          <w:color w:val="auto"/>
          <w:sz w:val="24"/>
          <w:highlight w:val="none"/>
          <w:lang w:eastAsia="zh-CN"/>
        </w:rPr>
        <w:t>限额以下比价</w:t>
      </w:r>
      <w:bookmarkEnd w:id="136"/>
      <w:bookmarkEnd w:id="137"/>
      <w:bookmarkEnd w:id="138"/>
      <w:bookmarkEnd w:id="139"/>
      <w:bookmarkEnd w:id="140"/>
      <w:r>
        <w:rPr>
          <w:rFonts w:hint="eastAsia" w:ascii="方正仿宋_GBK" w:hAnsi="宋体" w:eastAsia="方正仿宋_GBK"/>
          <w:color w:val="auto"/>
          <w:sz w:val="24"/>
          <w:highlight w:val="none"/>
          <w:lang w:eastAsia="zh-CN"/>
        </w:rPr>
        <w:t>采购文件</w:t>
      </w:r>
    </w:p>
    <w:p>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（二）采购人（或采购代理机构）所作的一切有效的书面通知、修改及补充，都是采购文件不可分割的部分。</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41" w:name="_Toc106034797"/>
      <w:bookmarkStart w:id="142" w:name="_Toc3061"/>
      <w:bookmarkStart w:id="143" w:name="_Toc65660357"/>
      <w:bookmarkStart w:id="144" w:name="_Toc9532"/>
      <w:bookmarkStart w:id="145" w:name="_Toc1922"/>
      <w:r>
        <w:rPr>
          <w:rFonts w:hint="eastAsia" w:ascii="方正仿宋_GBK" w:hAnsi="宋体" w:eastAsia="方正仿宋_GBK"/>
          <w:color w:val="auto"/>
          <w:sz w:val="24"/>
          <w:highlight w:val="none"/>
        </w:rPr>
        <w:t>三、报价要求</w:t>
      </w:r>
      <w:bookmarkEnd w:id="141"/>
      <w:bookmarkEnd w:id="142"/>
      <w:bookmarkEnd w:id="143"/>
      <w:bookmarkEnd w:id="144"/>
      <w:bookmarkEnd w:id="145"/>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供应商应当按照采购文件的要求编制响应文件，并对采购文件提出的要求和条件作出实质性响应，响应文件原则上应装订成册提交。</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2.联合体</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2.1两个以上供应商可以组成一个联合体，以一个供应商的身份参与报价。</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2.2以联合体形式参加报价的，联合体各方均应</w:t>
      </w:r>
      <w:r>
        <w:rPr>
          <w:rFonts w:hint="eastAsia" w:ascii="方正仿宋_GBK" w:hAnsi="宋体" w:eastAsia="方正仿宋_GBK" w:cs="宋体"/>
          <w:color w:val="auto"/>
          <w:kern w:val="0"/>
          <w:sz w:val="24"/>
          <w:szCs w:val="24"/>
          <w:highlight w:val="none"/>
        </w:rPr>
        <w:t>满足供应商资格要求（详见“第一篇”）</w:t>
      </w:r>
      <w:r>
        <w:rPr>
          <w:rFonts w:hint="eastAsia" w:ascii="方正仿宋_GBK" w:hAnsi="宋体" w:eastAsia="方正仿宋_GBK"/>
          <w:color w:val="auto"/>
          <w:sz w:val="24"/>
          <w:highlight w:val="none"/>
        </w:rPr>
        <w:t>。联合体中有同类资质的供应商按照联合体分工承担相同工作的，应当按照资质等级较低的供应商确定资质等级。</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2.5联合体业绩计算，按照共同联合协议分工认定。</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3.报价有效期：响应文件及有关承诺文件有效期为提交响应文件截止时间起90天。</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（二）修正错误</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若供应商所递交的响应文件或报价中的价格出现大写金额和小写金额不一致的错误，以大写金额修正为准。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（三）提交响应文件的份数和签署</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w:t>
      </w:r>
      <w:r>
        <w:rPr>
          <w:rFonts w:hint="eastAsia" w:ascii="方正仿宋_GBK" w:hAnsi="宋体" w:eastAsia="方正仿宋_GBK"/>
          <w:color w:val="auto"/>
          <w:sz w:val="24"/>
          <w:szCs w:val="24"/>
          <w:highlight w:val="none"/>
          <w:lang w:eastAsia="zh-CN"/>
        </w:rPr>
        <w:t>三</w:t>
      </w:r>
      <w:r>
        <w:rPr>
          <w:rFonts w:hint="eastAsia" w:ascii="方正仿宋_GBK" w:hAnsi="宋体" w:eastAsia="方正仿宋_GBK"/>
          <w:color w:val="auto"/>
          <w:sz w:val="24"/>
          <w:szCs w:val="24"/>
          <w:highlight w:val="none"/>
        </w:rPr>
        <w:t>份，其中正本一份，副本</w:t>
      </w:r>
      <w:r>
        <w:rPr>
          <w:rFonts w:hint="eastAsia" w:ascii="方正仿宋_GBK" w:hAnsi="宋体" w:eastAsia="方正仿宋_GBK"/>
          <w:color w:val="auto"/>
          <w:sz w:val="24"/>
          <w:szCs w:val="24"/>
          <w:highlight w:val="none"/>
          <w:lang w:eastAsia="zh-CN"/>
        </w:rPr>
        <w:t>二</w:t>
      </w:r>
      <w:r>
        <w:rPr>
          <w:rFonts w:hint="eastAsia" w:ascii="方正仿宋_GBK" w:hAnsi="宋体" w:eastAsia="方正仿宋_GBK"/>
          <w:color w:val="auto"/>
          <w:sz w:val="24"/>
          <w:szCs w:val="24"/>
          <w:highlight w:val="none"/>
        </w:rPr>
        <w:t>份。副本可为正本的复印件，应与正本一致，如出现不一致情况以正本为准。</w:t>
      </w:r>
    </w:p>
    <w:p>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在响应文件正本中，采购文件第七篇响应文件格式中规定签署、盖章的地方必须按其规定签署、盖章。</w:t>
      </w:r>
    </w:p>
    <w:p>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3.若供应商对响应文件的错处作必要修改，则应在修改处加盖供应商公章或由法定代表人（或其授权代表）或自然人</w:t>
      </w:r>
      <w:r>
        <w:rPr>
          <w:rFonts w:hint="eastAsia" w:ascii="方正仿宋_GBK" w:hAnsi="宋体" w:eastAsia="方正仿宋_GBK"/>
          <w:color w:val="auto"/>
          <w:sz w:val="24"/>
          <w:szCs w:val="24"/>
          <w:highlight w:val="none"/>
        </w:rPr>
        <w:t>（供应商为自然人）签署</w:t>
      </w:r>
      <w:r>
        <w:rPr>
          <w:rFonts w:hint="eastAsia" w:ascii="方正仿宋_GBK" w:hAnsi="宋体" w:eastAsia="方正仿宋_GBK"/>
          <w:color w:val="auto"/>
          <w:sz w:val="24"/>
          <w:highlight w:val="none"/>
        </w:rPr>
        <w:t>确认。</w:t>
      </w:r>
    </w:p>
    <w:p>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（四）响应文件的递交</w:t>
      </w:r>
    </w:p>
    <w:p>
      <w:pPr>
        <w:pStyle w:val="31"/>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响应文件的正本、副本均应密封送达报价地点，应在封套上注明</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项目名称、供应商名称。若正本、副本分别进行密封的，还应在封套上注明“正本”、“副本”字样。</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（五）响应文件语言：简体中文</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（六）供应商参与人员</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各供应商应当派1-2名代表参与报价，至少1人应为法定代表人（或其授权代表）或自然人（供应商为自然人）。</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46" w:name="_Toc14702"/>
      <w:bookmarkStart w:id="147" w:name="_Toc6242"/>
      <w:bookmarkStart w:id="148" w:name="_Toc65660358"/>
      <w:bookmarkStart w:id="149" w:name="_Toc10172"/>
      <w:bookmarkStart w:id="150" w:name="_Toc106034798"/>
      <w:r>
        <w:rPr>
          <w:rFonts w:hint="eastAsia" w:ascii="方正仿宋_GBK" w:hAnsi="宋体" w:eastAsia="方正仿宋_GBK"/>
          <w:color w:val="auto"/>
          <w:sz w:val="24"/>
          <w:highlight w:val="none"/>
        </w:rPr>
        <w:t>四、成交供应商的确定和变更</w:t>
      </w:r>
      <w:bookmarkEnd w:id="146"/>
      <w:bookmarkEnd w:id="147"/>
      <w:bookmarkEnd w:id="148"/>
      <w:bookmarkEnd w:id="149"/>
      <w:bookmarkEnd w:id="150"/>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（二）成交供应商的变更</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51" w:name="_Toc10504"/>
      <w:bookmarkStart w:id="152" w:name="_Toc1092"/>
      <w:bookmarkStart w:id="153" w:name="_Toc106034799"/>
      <w:bookmarkStart w:id="154" w:name="_Toc65660359"/>
      <w:bookmarkStart w:id="155" w:name="_Toc29821"/>
      <w:r>
        <w:rPr>
          <w:rFonts w:hint="eastAsia" w:ascii="方正仿宋_GBK" w:hAnsi="宋体" w:eastAsia="方正仿宋_GBK"/>
          <w:color w:val="auto"/>
          <w:sz w:val="24"/>
          <w:highlight w:val="none"/>
        </w:rPr>
        <w:t>五、成交通知</w:t>
      </w:r>
      <w:bookmarkEnd w:id="151"/>
      <w:bookmarkEnd w:id="152"/>
      <w:bookmarkEnd w:id="153"/>
      <w:bookmarkEnd w:id="154"/>
      <w:bookmarkEnd w:id="155"/>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（一）成交供应商确定后，采购代理机构将在重庆市交通</w:t>
      </w:r>
      <w:r>
        <w:rPr>
          <w:rFonts w:hint="eastAsia" w:ascii="方正仿宋_GBK" w:hAnsi="宋体" w:eastAsia="方正仿宋_GBK"/>
          <w:color w:val="auto"/>
          <w:sz w:val="24"/>
          <w:szCs w:val="24"/>
          <w:highlight w:val="none"/>
          <w:lang w:eastAsia="zh-CN"/>
        </w:rPr>
        <w:t>运输委员会</w:t>
      </w:r>
      <w:r>
        <w:rPr>
          <w:rFonts w:hint="eastAsia" w:ascii="方正仿宋_GBK" w:hAnsi="宋体" w:eastAsia="方正仿宋_GBK"/>
          <w:color w:val="auto"/>
          <w:sz w:val="24"/>
          <w:szCs w:val="24"/>
          <w:highlight w:val="none"/>
        </w:rPr>
        <w:t>官网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上发布成交结果公告。</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（二）成交结果公告将作为签订合同的依据。</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56" w:name="_Toc106034800"/>
      <w:bookmarkStart w:id="157" w:name="_Toc31082"/>
      <w:bookmarkStart w:id="158" w:name="_Toc65660360"/>
      <w:bookmarkStart w:id="159" w:name="_Toc30909"/>
      <w:bookmarkStart w:id="160" w:name="_Toc1010"/>
      <w:r>
        <w:rPr>
          <w:rFonts w:hint="eastAsia" w:ascii="方正仿宋_GBK" w:hAnsi="宋体" w:eastAsia="方正仿宋_GBK"/>
          <w:color w:val="auto"/>
          <w:sz w:val="24"/>
          <w:highlight w:val="none"/>
        </w:rPr>
        <w:t>六、关于质疑和投诉</w:t>
      </w:r>
      <w:bookmarkEnd w:id="156"/>
      <w:bookmarkEnd w:id="157"/>
      <w:bookmarkEnd w:id="158"/>
      <w:bookmarkEnd w:id="159"/>
      <w:bookmarkEnd w:id="160"/>
    </w:p>
    <w:p>
      <w:pPr>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（一）质疑</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1.2供应商提出质疑应当提交质疑函和必要的证明材料，质疑函应当包括下列内容：</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1.2.1供应商的姓名或者名称、地址、邮编、联系人及联系电话；</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1.2.2</w:t>
      </w:r>
      <w:r>
        <w:rPr>
          <w:rFonts w:hint="eastAsia" w:ascii="方正仿宋_GBK" w:hAnsi="宋体" w:eastAsia="方正仿宋_GBK"/>
          <w:color w:val="auto"/>
          <w:sz w:val="24"/>
          <w:szCs w:val="24"/>
          <w:highlight w:val="none"/>
        </w:rPr>
        <w:t>质疑项目的项目名称</w:t>
      </w:r>
      <w:r>
        <w:rPr>
          <w:rFonts w:hint="eastAsia" w:ascii="方正仿宋_GBK" w:hAnsi="仿宋" w:eastAsia="方正仿宋_GBK" w:cs="仿宋"/>
          <w:color w:val="auto"/>
          <w:sz w:val="24"/>
          <w:highlight w:val="none"/>
        </w:rPr>
        <w:t>；</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1.2.3具体、明确的质疑事项和与质疑事项相关的请求；</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1.2.4事实依据；</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1.2.5必要的法律依据；</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1.2.6提出质疑的日期；</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61" w:name="_Toc106034801"/>
      <w:bookmarkStart w:id="162" w:name="_Toc3127"/>
      <w:bookmarkStart w:id="163" w:name="_Toc23778"/>
      <w:bookmarkStart w:id="164" w:name="_Toc65660361"/>
      <w:bookmarkStart w:id="165" w:name="_Toc16648"/>
      <w:r>
        <w:rPr>
          <w:rFonts w:hint="eastAsia" w:ascii="方正仿宋_GBK" w:hAnsi="宋体" w:eastAsia="方正仿宋_GBK"/>
          <w:color w:val="auto"/>
          <w:sz w:val="24"/>
          <w:highlight w:val="none"/>
        </w:rPr>
        <w:t>七、签订合同</w:t>
      </w:r>
      <w:bookmarkEnd w:id="161"/>
      <w:bookmarkEnd w:id="162"/>
      <w:bookmarkEnd w:id="163"/>
      <w:bookmarkEnd w:id="164"/>
      <w:bookmarkEnd w:id="165"/>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方正仿宋_GBK" w:eastAsia="方正仿宋_GBK"/>
          <w:color w:val="auto"/>
          <w:sz w:val="24"/>
          <w:highlight w:val="none"/>
        </w:rPr>
        <w:t>采购人原则上应在成交结果公告发出之日起二十日内和成交供应商签订政府采购合同，无正当理由不得拒绝或拖延合同签订</w:t>
      </w:r>
      <w:r>
        <w:rPr>
          <w:rFonts w:hint="eastAsia" w:ascii="方正仿宋_GBK" w:hAnsi="宋体" w:eastAsia="方正仿宋_GBK"/>
          <w:color w:val="auto"/>
          <w:sz w:val="24"/>
          <w:szCs w:val="24"/>
          <w:highlight w:val="none"/>
        </w:rPr>
        <w:t>。所签订的合同不得对采购文件和供应商的响应文件作实质性修改。其他未尽事宜由采购人和成交供应商在采购合同中详细约定。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（二）采购文件、供应商的响应文件及澄清文件等，均为签订政府采购合同的依据。</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66" w:name="_Toc77"/>
      <w:bookmarkStart w:id="167" w:name="_Toc106034802"/>
      <w:r>
        <w:rPr>
          <w:rFonts w:hint="eastAsia" w:ascii="方正仿宋_GBK" w:hAnsi="宋体" w:eastAsia="方正仿宋_GBK"/>
          <w:color w:val="auto"/>
          <w:sz w:val="24"/>
          <w:highlight w:val="none"/>
        </w:rPr>
        <w:t>八、项目验收</w:t>
      </w:r>
      <w:bookmarkEnd w:id="166"/>
      <w:bookmarkEnd w:id="167"/>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方正仿宋_GBK" w:eastAsia="方正仿宋_GBK"/>
          <w:color w:val="auto"/>
          <w:sz w:val="24"/>
          <w:highlight w:val="none"/>
        </w:rPr>
        <w:t>合同执行完毕，采购人原则上在收到验收申请后，应在7个工作日内组织履约情况验收，不得无故拖延或附加额外条件。</w:t>
      </w: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68" w:name="_Toc2438"/>
      <w:bookmarkStart w:id="169" w:name="_Toc106034803"/>
      <w:bookmarkStart w:id="170" w:name="_Toc65660362"/>
      <w:bookmarkStart w:id="171" w:name="_Toc29513"/>
      <w:bookmarkStart w:id="172" w:name="_Toc32594"/>
      <w:r>
        <w:rPr>
          <w:rFonts w:hint="eastAsia" w:ascii="方正仿宋_GBK" w:hAnsi="宋体" w:eastAsia="方正仿宋_GBK"/>
          <w:color w:val="auto"/>
          <w:sz w:val="24"/>
          <w:highlight w:val="none"/>
        </w:rPr>
        <w:t>九、采购代理服务费</w:t>
      </w:r>
      <w:bookmarkEnd w:id="168"/>
      <w:bookmarkEnd w:id="169"/>
      <w:bookmarkEnd w:id="170"/>
      <w:bookmarkEnd w:id="171"/>
      <w:bookmarkEnd w:id="172"/>
    </w:p>
    <w:p>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供应商成交后向采购代理机构缴纳采购代理服务费，服务费的收取标准为按照计价格[2002]1980号文件规定下浮36%计取，但不低于2700元。</w:t>
      </w:r>
    </w:p>
    <w:p>
      <w:pPr>
        <w:spacing w:line="360" w:lineRule="auto"/>
        <w:ind w:firstLine="480" w:firstLineChars="200"/>
        <w:rPr>
          <w:rFonts w:ascii="宋体" w:hAnsi="宋体"/>
          <w:color w:val="auto"/>
          <w:sz w:val="24"/>
          <w:szCs w:val="24"/>
          <w:highlight w:val="none"/>
        </w:rPr>
        <w:sectPr>
          <w:pgSz w:w="11907" w:h="16840"/>
          <w:pgMar w:top="1134" w:right="1191" w:bottom="1134" w:left="1304" w:header="964" w:footer="992" w:gutter="0"/>
          <w:pgNumType w:fmt="numberInDash"/>
          <w:cols w:space="720" w:num="1"/>
          <w:docGrid w:linePitch="312" w:charSpace="0"/>
        </w:sectPr>
      </w:pPr>
    </w:p>
    <w:bookmarkEnd w:id="69"/>
    <w:p>
      <w:pPr>
        <w:pStyle w:val="4"/>
        <w:spacing w:before="0" w:after="0" w:line="360" w:lineRule="auto"/>
        <w:jc w:val="center"/>
        <w:rPr>
          <w:rFonts w:hint="eastAsia" w:ascii="方正小标宋_GBK" w:eastAsia="方正小标宋_GBK"/>
          <w:b w:val="0"/>
          <w:color w:val="auto"/>
          <w:sz w:val="36"/>
          <w:szCs w:val="30"/>
          <w:highlight w:val="none"/>
        </w:rPr>
      </w:pPr>
      <w:bookmarkStart w:id="173" w:name="_Toc11641055"/>
      <w:bookmarkStart w:id="174" w:name="_Toc12789059"/>
      <w:bookmarkStart w:id="175" w:name="_Toc106034806"/>
      <w:bookmarkStart w:id="176" w:name="_Toc65660365"/>
      <w:bookmarkStart w:id="177" w:name="_Toc14861"/>
      <w:bookmarkStart w:id="178" w:name="_Toc28162"/>
      <w:bookmarkStart w:id="179" w:name="_Toc10599"/>
      <w:r>
        <w:rPr>
          <w:rFonts w:hint="eastAsia" w:ascii="方正小标宋_GBK" w:eastAsia="方正小标宋_GBK"/>
          <w:b w:val="0"/>
          <w:color w:val="auto"/>
          <w:sz w:val="36"/>
          <w:szCs w:val="30"/>
          <w:highlight w:val="none"/>
        </w:rPr>
        <w:t xml:space="preserve">第六篇  </w:t>
      </w:r>
      <w:bookmarkEnd w:id="173"/>
      <w:bookmarkEnd w:id="174"/>
      <w:r>
        <w:rPr>
          <w:rFonts w:hint="eastAsia" w:ascii="方正小标宋_GBK" w:eastAsia="方正小标宋_GBK"/>
          <w:b w:val="0"/>
          <w:color w:val="auto"/>
          <w:sz w:val="36"/>
          <w:szCs w:val="30"/>
          <w:highlight w:val="none"/>
        </w:rPr>
        <w:t>合同草案条款</w:t>
      </w:r>
      <w:bookmarkEnd w:id="175"/>
      <w:bookmarkEnd w:id="176"/>
      <w:bookmarkEnd w:id="177"/>
      <w:bookmarkEnd w:id="178"/>
      <w:bookmarkEnd w:id="179"/>
    </w:p>
    <w:p>
      <w:pPr>
        <w:spacing w:line="400" w:lineRule="exact"/>
        <w:ind w:right="12" w:firstLine="480"/>
        <w:rPr>
          <w:rFonts w:hint="eastAsia" w:ascii="方正仿宋_GBK" w:hAnsi="仿宋" w:eastAsia="方正仿宋_GBK" w:cs="仿宋"/>
          <w:color w:val="auto"/>
          <w:sz w:val="24"/>
          <w:highlight w:val="none"/>
        </w:rPr>
      </w:pPr>
    </w:p>
    <w:p>
      <w:pPr>
        <w:spacing w:line="400" w:lineRule="exact"/>
        <w:ind w:right="12" w:firstLine="480"/>
        <w:rPr>
          <w:rFonts w:ascii="方正仿宋_GBK" w:hAnsi="仿宋" w:eastAsia="方正仿宋_GBK" w:cs="仿宋"/>
          <w:color w:val="auto"/>
          <w:sz w:val="24"/>
          <w:highlight w:val="none"/>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rPr>
          <w:rFonts w:hint="eastAsia" w:ascii="方正仿宋_GBK" w:eastAsia="方正仿宋_GBK"/>
          <w:color w:val="auto"/>
          <w:sz w:val="24"/>
          <w:highlight w:val="none"/>
        </w:rPr>
      </w:pPr>
      <w:bookmarkStart w:id="180" w:name="_Toc303945820"/>
      <w:bookmarkStart w:id="181" w:name="_Toc148265480"/>
      <w:r>
        <w:rPr>
          <w:rFonts w:hint="eastAsia" w:ascii="方正仿宋_GBK" w:eastAsia="方正仿宋_GBK"/>
          <w:color w:val="auto"/>
          <w:sz w:val="24"/>
          <w:highlight w:val="none"/>
        </w:rPr>
        <w:t>附页：合同格式</w:t>
      </w:r>
      <w:bookmarkEnd w:id="180"/>
      <w:bookmarkEnd w:id="181"/>
    </w:p>
    <w:p>
      <w:pPr>
        <w:spacing w:line="500" w:lineRule="exact"/>
        <w:jc w:val="center"/>
        <w:rPr>
          <w:rFonts w:hint="eastAsia" w:ascii="方正仿宋_GBK" w:eastAsia="方正仿宋_GBK"/>
          <w:b/>
          <w:color w:val="auto"/>
          <w:sz w:val="44"/>
          <w:highlight w:val="none"/>
        </w:rPr>
      </w:pPr>
      <w:r>
        <w:rPr>
          <w:rFonts w:hint="eastAsia" w:ascii="方正仿宋_GBK" w:eastAsia="方正仿宋_GBK"/>
          <w:b/>
          <w:color w:val="auto"/>
          <w:sz w:val="44"/>
          <w:highlight w:val="none"/>
        </w:rPr>
        <w:t>重庆市政府采购合同</w:t>
      </w:r>
    </w:p>
    <w:p>
      <w:pPr>
        <w:spacing w:line="500" w:lineRule="exact"/>
        <w:jc w:val="center"/>
        <w:outlineLvl w:val="1"/>
        <w:rPr>
          <w:rFonts w:hint="eastAsia" w:ascii="方正仿宋_GBK" w:eastAsia="方正仿宋_GBK"/>
          <w:b/>
          <w:color w:val="auto"/>
          <w:sz w:val="44"/>
          <w:highlight w:val="none"/>
        </w:rPr>
      </w:pPr>
      <w:r>
        <w:rPr>
          <w:rFonts w:hint="eastAsia" w:ascii="方正仿宋_GBK" w:eastAsia="方正仿宋_GBK"/>
          <w:b/>
          <w:color w:val="auto"/>
          <w:sz w:val="44"/>
          <w:highlight w:val="none"/>
        </w:rPr>
        <w:t>（服务类）</w:t>
      </w:r>
    </w:p>
    <w:p>
      <w:pPr>
        <w:spacing w:line="500" w:lineRule="exact"/>
        <w:jc w:val="center"/>
        <w:outlineLvl w:val="1"/>
        <w:rPr>
          <w:rFonts w:hint="eastAsia" w:ascii="方正仿宋_GBK" w:eastAsia="方正仿宋_GBK"/>
          <w:b/>
          <w:color w:val="auto"/>
          <w:sz w:val="44"/>
          <w:highlight w:val="none"/>
        </w:rPr>
      </w:pPr>
    </w:p>
    <w:p>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项目名称</w:t>
            </w:r>
          </w:p>
        </w:tc>
        <w:tc>
          <w:tcPr>
            <w:tcW w:w="984"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数量</w:t>
            </w:r>
          </w:p>
        </w:tc>
        <w:tc>
          <w:tcPr>
            <w:tcW w:w="1298" w:type="dxa"/>
            <w:gridSpan w:val="2"/>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综合单价</w:t>
            </w:r>
          </w:p>
        </w:tc>
        <w:tc>
          <w:tcPr>
            <w:tcW w:w="1134"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总价</w:t>
            </w:r>
          </w:p>
        </w:tc>
        <w:tc>
          <w:tcPr>
            <w:tcW w:w="1559"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服务时间/工期</w:t>
            </w:r>
          </w:p>
        </w:tc>
        <w:tc>
          <w:tcPr>
            <w:tcW w:w="1567"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pPr>
              <w:spacing w:line="240" w:lineRule="atLeast"/>
              <w:jc w:val="center"/>
              <w:rPr>
                <w:rFonts w:hint="eastAsia" w:ascii="方正仿宋_GBK"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pPr>
              <w:spacing w:line="240" w:lineRule="atLeast"/>
              <w:jc w:val="center"/>
              <w:rPr>
                <w:rFonts w:hint="eastAsia" w:ascii="方正仿宋_GBK"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77" w:hRule="atLeast"/>
        </w:trPr>
        <w:tc>
          <w:tcPr>
            <w:tcW w:w="9613" w:type="dxa"/>
            <w:gridSpan w:val="7"/>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pP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四、付款方式</w:t>
            </w:r>
            <w:r>
              <w:rPr>
                <w:rFonts w:ascii="方正仿宋_GBK" w:eastAsia="方正仿宋_GBK"/>
                <w:color w:val="auto"/>
                <w:sz w:val="21"/>
                <w:szCs w:val="21"/>
                <w:highlight w:val="none"/>
              </w:rPr>
              <w:t>：</w:t>
            </w:r>
          </w:p>
          <w:p>
            <w:pPr>
              <w:rPr>
                <w:rFonts w:hint="eastAsia" w:ascii="方正仿宋_GBK"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五、违约责任：</w:t>
            </w:r>
          </w:p>
          <w:p>
            <w:pPr>
              <w:spacing w:line="240" w:lineRule="atLeast"/>
              <w:rPr>
                <w:rFonts w:hint="eastAsia" w:ascii="方正仿宋_GBK"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六、其他约定事项：</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1.采购文件及其澄清文件、响应文件和承诺是本合同不可分割的部分。</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2.本合同如发生争议由双方协商解决，协商不成向需方所在人民法院提请诉讼。</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3.本合同一式__份， 需方__份，供方__份，具同等法律效力。</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需方：</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联系电话：</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tc>
        <w:tc>
          <w:tcPr>
            <w:tcW w:w="4984" w:type="dxa"/>
            <w:gridSpan w:val="5"/>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供方：</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电话：</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传真：</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开户银行：</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账号：</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p>
            <w:pPr>
              <w:widowControl/>
              <w:spacing w:line="240" w:lineRule="atLeast"/>
              <w:jc w:val="lef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备注：</w:t>
            </w:r>
          </w:p>
          <w:p>
            <w:pPr>
              <w:spacing w:line="240" w:lineRule="atLeast"/>
              <w:rPr>
                <w:rFonts w:hint="eastAsia" w:ascii="方正仿宋_GBK" w:eastAsia="方正仿宋_GBK"/>
                <w:color w:val="auto"/>
                <w:sz w:val="21"/>
                <w:szCs w:val="21"/>
                <w:highlight w:val="none"/>
              </w:rPr>
            </w:pPr>
          </w:p>
          <w:p>
            <w:pPr>
              <w:spacing w:line="240" w:lineRule="atLeast"/>
              <w:rPr>
                <w:rFonts w:hint="eastAsia" w:ascii="方正仿宋_GBK" w:eastAsia="方正仿宋_GBK"/>
                <w:color w:val="auto"/>
                <w:sz w:val="21"/>
                <w:szCs w:val="21"/>
                <w:highlight w:val="none"/>
              </w:rPr>
            </w:pPr>
          </w:p>
        </w:tc>
      </w:tr>
    </w:tbl>
    <w:p>
      <w:pPr>
        <w:rPr>
          <w:rFonts w:hint="eastAsia" w:ascii="方正仿宋_GBK" w:eastAsia="方正仿宋_GBK"/>
          <w:color w:val="auto"/>
          <w:sz w:val="21"/>
          <w:szCs w:val="21"/>
          <w:highlight w:val="none"/>
          <w:lang w:eastAsia="zh-CN"/>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color w:val="auto"/>
          <w:sz w:val="24"/>
          <w:highlight w:val="none"/>
        </w:rPr>
        <w:t>签约时间：           年   月   日      签约地点</w:t>
      </w:r>
      <w:r>
        <w:rPr>
          <w:rFonts w:hint="eastAsia" w:ascii="方正仿宋_GBK" w:eastAsia="方正仿宋_GBK"/>
          <w:color w:val="auto"/>
          <w:sz w:val="24"/>
          <w:highlight w:val="none"/>
          <w:lang w:eastAsia="zh-CN"/>
        </w:rPr>
        <w:t>：</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center"/>
        <w:textAlignment w:val="auto"/>
        <w:rPr>
          <w:rFonts w:hint="eastAsia" w:ascii="方正小标宋_GBK" w:eastAsia="方正小标宋_GBK"/>
          <w:b w:val="0"/>
          <w:color w:val="auto"/>
          <w:sz w:val="36"/>
          <w:szCs w:val="30"/>
          <w:highlight w:val="none"/>
        </w:rPr>
      </w:pPr>
      <w:bookmarkStart w:id="182" w:name="_Hlt41879464"/>
      <w:bookmarkEnd w:id="182"/>
      <w:bookmarkStart w:id="183" w:name="_Toc6968"/>
      <w:bookmarkStart w:id="184" w:name="_Toc106034807"/>
      <w:bookmarkStart w:id="185" w:name="_Toc18521"/>
      <w:bookmarkStart w:id="186" w:name="_Toc12789072"/>
      <w:bookmarkStart w:id="187" w:name="_Toc9538"/>
      <w:bookmarkStart w:id="188" w:name="_Toc65660378"/>
      <w:r>
        <w:rPr>
          <w:rFonts w:hint="eastAsia" w:ascii="方正小标宋_GBK" w:eastAsia="方正小标宋_GBK"/>
          <w:b w:val="0"/>
          <w:color w:val="auto"/>
          <w:sz w:val="36"/>
          <w:szCs w:val="30"/>
          <w:highlight w:val="none"/>
        </w:rPr>
        <w:t xml:space="preserve"> 响应文件格式要求</w:t>
      </w:r>
      <w:bookmarkEnd w:id="183"/>
      <w:bookmarkEnd w:id="184"/>
      <w:bookmarkEnd w:id="185"/>
      <w:bookmarkEnd w:id="186"/>
      <w:bookmarkEnd w:id="187"/>
      <w:bookmarkEnd w:id="188"/>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_GBK" w:eastAsia="方正小标宋_GBK"/>
          <w:b w:val="0"/>
          <w:color w:val="auto"/>
          <w:sz w:val="36"/>
          <w:szCs w:val="30"/>
          <w:highlight w:val="none"/>
        </w:rPr>
      </w:pPr>
    </w:p>
    <w:p>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二、技术（质量）部分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（二）其他资料（格式自定）</w:t>
      </w:r>
    </w:p>
    <w:p>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三、服务部分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（二）其它优惠服务承诺（格式自定）</w:t>
      </w:r>
    </w:p>
    <w:p>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四、资格条件及其他</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（二）法定代表人身份证明书（格式）</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（四）基本资格条件承诺函（格式）</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（五）特定资格条件证书或证明文件</w:t>
      </w:r>
    </w:p>
    <w:p>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五、其他资料</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89" w:name="_Toc14244"/>
      <w:bookmarkStart w:id="190" w:name="_Toc342913419"/>
      <w:bookmarkStart w:id="191" w:name="_Toc26343"/>
      <w:bookmarkStart w:id="192" w:name="_Toc30982"/>
      <w:bookmarkStart w:id="193" w:name="_Toc65660379"/>
      <w:bookmarkStart w:id="194" w:name="_Toc106034808"/>
      <w:bookmarkStart w:id="195" w:name="_Toc313008356"/>
      <w:bookmarkStart w:id="196" w:name="_Toc313888360"/>
      <w:bookmarkStart w:id="197" w:name="_Toc283382454"/>
      <w:bookmarkStart w:id="198" w:name="_Toc12789073"/>
      <w:r>
        <w:rPr>
          <w:rFonts w:hint="eastAsia" w:ascii="方正仿宋_GBK" w:hAnsi="宋体" w:eastAsia="方正仿宋_GBK"/>
          <w:color w:val="auto"/>
          <w:sz w:val="24"/>
          <w:highlight w:val="none"/>
        </w:rPr>
        <w:t>一、经济部分</w:t>
      </w:r>
      <w:bookmarkEnd w:id="189"/>
      <w:bookmarkEnd w:id="190"/>
      <w:bookmarkEnd w:id="191"/>
      <w:bookmarkEnd w:id="192"/>
      <w:bookmarkEnd w:id="193"/>
      <w:bookmarkEnd w:id="194"/>
      <w:bookmarkEnd w:id="195"/>
      <w:bookmarkEnd w:id="196"/>
    </w:p>
    <w:bookmarkEnd w:id="197"/>
    <w:bookmarkEnd w:id="198"/>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pPr>
        <w:tabs>
          <w:tab w:val="left" w:pos="6300"/>
        </w:tabs>
        <w:snapToGrid w:val="0"/>
        <w:spacing w:line="312" w:lineRule="auto"/>
        <w:ind w:firstLine="562" w:firstLineChars="200"/>
        <w:jc w:val="center"/>
        <w:rPr>
          <w:rFonts w:hint="eastAsia" w:ascii="方正仿宋_GBK" w:hAnsi="宋体" w:eastAsia="方正仿宋_GBK"/>
          <w:b/>
          <w:color w:val="auto"/>
          <w:szCs w:val="28"/>
          <w:highlight w:val="none"/>
        </w:rPr>
      </w:pPr>
      <w:r>
        <w:rPr>
          <w:rFonts w:hint="eastAsia" w:ascii="方正仿宋_GBK" w:hAnsi="宋体" w:eastAsia="方正仿宋_GBK"/>
          <w:b/>
          <w:color w:val="auto"/>
          <w:szCs w:val="28"/>
          <w:highlight w:val="none"/>
        </w:rPr>
        <w:t>报价函</w:t>
      </w:r>
    </w:p>
    <w:p>
      <w:pPr>
        <w:tabs>
          <w:tab w:val="left" w:pos="6300"/>
        </w:tabs>
        <w:snapToGrid w:val="0"/>
        <w:spacing w:line="312"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szCs w:val="24"/>
          <w:highlight w:val="none"/>
        </w:rPr>
        <w:t>：</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1.愿意按照采购文件中的一切要求，提供本项目的交货及技术服务，项目报价（总价）为人民币大写：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元。以我公司报价为准。</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3.我方承诺：本次报价的有效期为提交响应文件截止时间起90天。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4.我方完全理解和接受贵方采购文件的一切规定和要求及评审办法。</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7.如果我方成为成交供应商，保证向采购代理机构缴纳采购文件规定的采购代理服务费。</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pPr>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年   月   日</w:t>
      </w:r>
    </w:p>
    <w:p>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pPr>
        <w:snapToGrid w:val="0"/>
        <w:spacing w:line="312" w:lineRule="auto"/>
        <w:rPr>
          <w:rFonts w:hint="eastAsia" w:ascii="方正仿宋_GBK" w:hAnsi="宋体" w:eastAsia="方正仿宋_GBK"/>
          <w:color w:val="auto"/>
          <w:sz w:val="24"/>
          <w:szCs w:val="24"/>
          <w:highlight w:val="none"/>
        </w:rPr>
        <w:sectPr>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jc w:val="center"/>
        <w:rPr>
          <w:rFonts w:hint="eastAsia" w:ascii="方正仿宋_GBK" w:hAnsi="宋体" w:eastAsia="方正仿宋_GBK"/>
          <w:color w:val="auto"/>
          <w:sz w:val="24"/>
          <w:highlight w:val="none"/>
        </w:rPr>
      </w:pPr>
      <w:bookmarkStart w:id="199" w:name="_Toc313888361"/>
      <w:bookmarkStart w:id="200" w:name="_Toc313008357"/>
      <w:bookmarkStart w:id="201" w:name="_Toc22655"/>
      <w:bookmarkStart w:id="202" w:name="_Toc65660380"/>
      <w:bookmarkStart w:id="203" w:name="_Toc26085"/>
      <w:bookmarkStart w:id="204" w:name="_Toc342913420"/>
      <w:bookmarkStart w:id="205" w:name="_Toc14073"/>
      <w:bookmarkStart w:id="206" w:name="_Toc106034809"/>
      <w:r>
        <w:rPr>
          <w:rFonts w:hint="eastAsia" w:ascii="方正仿宋_GBK" w:hAnsi="宋体" w:eastAsia="方正仿宋_GBK"/>
          <w:color w:val="auto"/>
          <w:sz w:val="24"/>
          <w:highlight w:val="none"/>
        </w:rPr>
        <w:t>二、技术（质量）部分</w:t>
      </w:r>
      <w:bookmarkEnd w:id="199"/>
      <w:bookmarkEnd w:id="200"/>
      <w:bookmarkEnd w:id="201"/>
      <w:bookmarkEnd w:id="202"/>
      <w:bookmarkEnd w:id="203"/>
      <w:bookmarkEnd w:id="204"/>
      <w:bookmarkEnd w:id="205"/>
      <w:bookmarkEnd w:id="206"/>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（一）技术（质量）响应偏离表                               </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2844" w:type="dxa"/>
            <w:noWrap w:val="0"/>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采购需求</w:t>
            </w:r>
          </w:p>
        </w:tc>
        <w:tc>
          <w:tcPr>
            <w:tcW w:w="2952" w:type="dxa"/>
            <w:noWrap w:val="0"/>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响应情况</w:t>
            </w:r>
          </w:p>
        </w:tc>
        <w:tc>
          <w:tcPr>
            <w:tcW w:w="2212" w:type="dxa"/>
            <w:noWrap w:val="0"/>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提醒：请注明技术参数或具体内容以及响应文件中技术参数或具体内容的位置（页码）</w:t>
            </w: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bl>
    <w:p>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pPr>
        <w:spacing w:line="500" w:lineRule="exact"/>
        <w:ind w:firstLine="720" w:firstLineChars="3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w:t>
      </w:r>
      <w:r>
        <w:rPr>
          <w:rFonts w:hint="eastAsia" w:ascii="方正仿宋_GBK" w:hAnsi="宋体" w:eastAsia="方正仿宋_GBK"/>
          <w:color w:val="auto"/>
          <w:sz w:val="24"/>
          <w:szCs w:val="24"/>
          <w:highlight w:val="none"/>
        </w:rPr>
        <w:t>签署</w:t>
      </w:r>
      <w:r>
        <w:rPr>
          <w:rFonts w:hint="eastAsia" w:ascii="方正仿宋_GBK" w:hAnsi="宋体" w:eastAsia="方正仿宋_GBK"/>
          <w:color w:val="auto"/>
          <w:sz w:val="24"/>
          <w:szCs w:val="28"/>
          <w:highlight w:val="none"/>
        </w:rPr>
        <w:t>或盖章）</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本表即为对本项目“第二篇  项目技术（质量）需求”中所列条款进行比较和响应；</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2.本表可扩展。</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br w:type="page"/>
      </w:r>
      <w:r>
        <w:rPr>
          <w:rFonts w:hint="eastAsia" w:ascii="方正仿宋_GBK" w:hAnsi="宋体" w:eastAsia="方正仿宋_GBK"/>
          <w:color w:val="auto"/>
          <w:sz w:val="24"/>
          <w:szCs w:val="24"/>
          <w:highlight w:val="none"/>
        </w:rPr>
        <w:t>（二）其他资料（格式自定）</w:t>
      </w:r>
    </w:p>
    <w:p>
      <w:pPr>
        <w:tabs>
          <w:tab w:val="left" w:pos="6300"/>
        </w:tabs>
        <w:snapToGrid w:val="0"/>
        <w:spacing w:line="500" w:lineRule="exact"/>
        <w:ind w:firstLine="480" w:firstLineChars="200"/>
        <w:rPr>
          <w:rFonts w:hint="eastAsia" w:ascii="方正仿宋_GBK" w:hAnsi="宋体" w:eastAsia="方正仿宋_GBK"/>
          <w:color w:val="auto"/>
          <w:sz w:val="24"/>
          <w:szCs w:val="24"/>
          <w:highlight w:val="none"/>
        </w:rPr>
      </w:pPr>
    </w:p>
    <w:p>
      <w:pPr>
        <w:pStyle w:val="4"/>
        <w:adjustRightInd w:val="0"/>
        <w:snapToGrid w:val="0"/>
        <w:spacing w:before="0" w:after="0" w:line="400" w:lineRule="exact"/>
        <w:ind w:firstLine="640" w:firstLineChars="200"/>
        <w:rPr>
          <w:rFonts w:hint="eastAsia" w:ascii="方正仿宋_GBK" w:hAnsi="宋体" w:eastAsia="方正仿宋_GBK"/>
          <w:color w:val="auto"/>
          <w:sz w:val="24"/>
          <w:highlight w:val="none"/>
        </w:rPr>
      </w:pPr>
      <w:r>
        <w:rPr>
          <w:rFonts w:ascii="方正仿宋_GBK" w:eastAsia="方正仿宋_GBK"/>
          <w:b w:val="0"/>
          <w:color w:val="auto"/>
          <w:highlight w:val="none"/>
        </w:rPr>
        <w:br w:type="page"/>
      </w:r>
      <w:bookmarkStart w:id="207" w:name="_Toc32339"/>
      <w:bookmarkStart w:id="208" w:name="_Toc65660381"/>
      <w:bookmarkStart w:id="209" w:name="_Toc106034810"/>
      <w:bookmarkStart w:id="210" w:name="_Toc27717"/>
      <w:bookmarkStart w:id="211" w:name="_Toc32158"/>
      <w:bookmarkStart w:id="212" w:name="_Toc313008358"/>
      <w:bookmarkStart w:id="213" w:name="_Toc342913421"/>
      <w:bookmarkStart w:id="214" w:name="_Toc313888362"/>
      <w:r>
        <w:rPr>
          <w:rFonts w:hint="eastAsia" w:ascii="方正仿宋_GBK" w:hAnsi="宋体" w:eastAsia="方正仿宋_GBK"/>
          <w:color w:val="auto"/>
          <w:sz w:val="24"/>
          <w:highlight w:val="none"/>
        </w:rPr>
        <w:t>三、</w:t>
      </w:r>
      <w:r>
        <w:rPr>
          <w:rFonts w:hint="eastAsia" w:ascii="方正仿宋_GBK" w:hAnsi="宋体" w:eastAsia="方正仿宋_GBK"/>
          <w:color w:val="auto"/>
          <w:sz w:val="24"/>
          <w:highlight w:val="none"/>
          <w:lang w:eastAsia="zh-CN"/>
        </w:rPr>
        <w:t>商务</w:t>
      </w:r>
      <w:r>
        <w:rPr>
          <w:rFonts w:hint="eastAsia" w:ascii="方正仿宋_GBK" w:hAnsi="宋体" w:eastAsia="方正仿宋_GBK"/>
          <w:color w:val="auto"/>
          <w:sz w:val="24"/>
          <w:highlight w:val="none"/>
        </w:rPr>
        <w:t>服务部分</w:t>
      </w:r>
      <w:bookmarkEnd w:id="207"/>
      <w:bookmarkEnd w:id="208"/>
      <w:bookmarkEnd w:id="209"/>
      <w:bookmarkEnd w:id="210"/>
      <w:bookmarkEnd w:id="211"/>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（一）商务服务响应偏离表                              </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项目商务需求</w:t>
            </w:r>
          </w:p>
        </w:tc>
        <w:tc>
          <w:tcPr>
            <w:tcW w:w="2438" w:type="dxa"/>
            <w:noWrap w:val="0"/>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bl>
    <w:p>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pPr>
        <w:spacing w:line="500" w:lineRule="exact"/>
        <w:ind w:firstLine="360" w:firstLineChars="1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本表即为对本项目“第三篇  项目商务需求”中所列条款进行比较和响应；</w:t>
      </w:r>
    </w:p>
    <w:p>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2.本表可扩展</w:t>
      </w:r>
      <w:r>
        <w:rPr>
          <w:rFonts w:hint="eastAsia" w:ascii="方正仿宋_GBK" w:hAnsi="宋体" w:eastAsia="方正仿宋_GBK"/>
          <w:color w:val="auto"/>
          <w:sz w:val="24"/>
          <w:szCs w:val="24"/>
          <w:highlight w:val="none"/>
        </w:rPr>
        <w:t>。</w:t>
      </w:r>
    </w:p>
    <w:p>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（二）其它优惠服务承诺（格式自定）</w:t>
      </w:r>
    </w:p>
    <w:p>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bookmarkStart w:id="215" w:name="_Toc65660382"/>
      <w:bookmarkStart w:id="216" w:name="_Toc106034811"/>
      <w:bookmarkStart w:id="217" w:name="_Toc20162"/>
      <w:bookmarkStart w:id="218" w:name="_Toc2082"/>
      <w:bookmarkStart w:id="219" w:name="_Toc21793"/>
      <w:r>
        <w:rPr>
          <w:rFonts w:hint="eastAsia" w:ascii="方正仿宋_GBK" w:hAnsi="宋体" w:eastAsia="方正仿宋_GBK"/>
          <w:color w:val="auto"/>
          <w:sz w:val="24"/>
          <w:highlight w:val="none"/>
        </w:rPr>
        <w:t>四、</w:t>
      </w:r>
      <w:bookmarkEnd w:id="212"/>
      <w:bookmarkEnd w:id="213"/>
      <w:bookmarkEnd w:id="214"/>
      <w:r>
        <w:rPr>
          <w:rFonts w:hint="eastAsia" w:ascii="方正仿宋_GBK" w:hAnsi="宋体" w:eastAsia="方正仿宋_GBK"/>
          <w:color w:val="auto"/>
          <w:sz w:val="24"/>
          <w:highlight w:val="none"/>
        </w:rPr>
        <w:t>资格条件及其他</w:t>
      </w:r>
      <w:bookmarkEnd w:id="215"/>
      <w:bookmarkEnd w:id="216"/>
      <w:bookmarkEnd w:id="217"/>
      <w:bookmarkEnd w:id="218"/>
      <w:bookmarkEnd w:id="219"/>
      <w:bookmarkStart w:id="220" w:name="_Toc313888363"/>
      <w:bookmarkStart w:id="221" w:name="_Toc313008359"/>
      <w:bookmarkStart w:id="222" w:name="_Toc342913422"/>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color w:val="auto"/>
          <w:sz w:val="24"/>
          <w:szCs w:val="24"/>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（二）法定代表人身份证明书（格式）</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项目名称：</w:t>
      </w:r>
      <w:r>
        <w:rPr>
          <w:rFonts w:hint="eastAsia" w:ascii="方正仿宋_GBK" w:hAnsi="宋体" w:eastAsia="方正仿宋_GBK"/>
          <w:color w:val="auto"/>
          <w:sz w:val="24"/>
          <w:highlight w:val="none"/>
          <w:u w:val="single"/>
        </w:rPr>
        <w:t xml:space="preserve">                                                </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（法定代表人姓名）在</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（供应商名称）任</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（职务名称）职务，是（供应商名称）</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的法定代表人。</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widowControl/>
        <w:spacing w:line="400" w:lineRule="exact"/>
        <w:ind w:firstLine="560" w:firstLineChars="200"/>
        <w:jc w:val="left"/>
        <w:rPr>
          <w:rFonts w:hint="eastAsia" w:ascii="方正仿宋_GBK" w:hAnsi="宋体" w:eastAsia="方正仿宋_GBK"/>
          <w:color w:val="auto"/>
          <w:sz w:val="24"/>
          <w:szCs w:val="24"/>
          <w:highlight w:val="none"/>
        </w:rPr>
      </w:pPr>
      <w:r>
        <w:rPr>
          <w:color w:val="auto"/>
          <w:highlight w:val="none"/>
        </w:rPr>
        <w:br w:type="column"/>
      </w:r>
      <w:r>
        <w:rPr>
          <w:rFonts w:hint="eastAsia" w:ascii="方正仿宋_GBK" w:hAnsi="宋体" w:eastAsia="方正仿宋_GBK"/>
          <w:color w:val="auto"/>
          <w:sz w:val="24"/>
          <w:szCs w:val="24"/>
          <w:highlight w:val="none"/>
        </w:rPr>
        <w:t>（三）法定代表人授权委托书（格式）</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pPr>
        <w:tabs>
          <w:tab w:val="left" w:pos="6300"/>
        </w:tabs>
        <w:snapToGrid w:val="0"/>
        <w:spacing w:line="500" w:lineRule="exact"/>
        <w:ind w:firstLine="57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pPr>
        <w:tabs>
          <w:tab w:val="left" w:pos="6300"/>
        </w:tabs>
        <w:snapToGrid w:val="0"/>
        <w:spacing w:line="500" w:lineRule="exact"/>
        <w:ind w:firstLine="570"/>
        <w:rPr>
          <w:rFonts w:hint="eastAsia" w:ascii="方正仿宋_GBK" w:hAnsi="宋体" w:eastAsia="方正仿宋_GBK"/>
          <w:color w:val="auto"/>
          <w:sz w:val="24"/>
          <w:szCs w:val="28"/>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pPr>
        <w:tabs>
          <w:tab w:val="left" w:pos="6300"/>
        </w:tabs>
        <w:snapToGrid w:val="0"/>
        <w:spacing w:line="400" w:lineRule="exact"/>
        <w:ind w:firstLine="573"/>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w:t>
      </w:r>
      <w:r>
        <w:rPr>
          <w:rFonts w:hint="eastAsia" w:ascii="方正仿宋_GBK" w:hAnsi="仿宋" w:eastAsia="方正仿宋_GBK"/>
          <w:color w:val="auto"/>
          <w:sz w:val="24"/>
          <w:highlight w:val="none"/>
          <w:lang w:eastAsia="zh-CN"/>
        </w:rPr>
        <w:t>提供</w:t>
      </w:r>
      <w:r>
        <w:rPr>
          <w:rFonts w:hint="eastAsia" w:ascii="方正仿宋_GBK" w:hAnsi="仿宋" w:eastAsia="方正仿宋_GBK"/>
          <w:color w:val="auto"/>
          <w:sz w:val="24"/>
          <w:highlight w:val="none"/>
        </w:rPr>
        <w:t>被授权人</w:t>
      </w:r>
      <w:r>
        <w:rPr>
          <w:rFonts w:hint="eastAsia" w:ascii="方正仿宋_GBK" w:hAnsi="仿宋" w:eastAsia="方正仿宋_GBK"/>
          <w:color w:val="auto"/>
          <w:sz w:val="24"/>
          <w:highlight w:val="none"/>
          <w:lang w:eastAsia="zh-CN"/>
        </w:rPr>
        <w:t>社保证明文件</w:t>
      </w:r>
      <w:r>
        <w:rPr>
          <w:rFonts w:hint="eastAsia" w:ascii="方正仿宋_GBK" w:hAnsi="仿宋" w:eastAsia="方正仿宋_GBK"/>
          <w:color w:val="auto"/>
          <w:sz w:val="24"/>
          <w:highlight w:val="none"/>
        </w:rPr>
        <w:t>。</w:t>
      </w:r>
    </w:p>
    <w:p>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宋体" w:hAnsi="宋体"/>
          <w:color w:val="auto"/>
          <w:highlight w:val="none"/>
        </w:rPr>
        <w:br w:type="column"/>
      </w:r>
      <w:r>
        <w:rPr>
          <w:rFonts w:hint="eastAsia" w:ascii="方正仿宋_GBK" w:hAnsi="宋体" w:eastAsia="方正仿宋_GBK"/>
          <w:color w:val="auto"/>
          <w:sz w:val="24"/>
          <w:szCs w:val="24"/>
          <w:highlight w:val="none"/>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pPr>
        <w:tabs>
          <w:tab w:val="left" w:pos="6300"/>
        </w:tabs>
        <w:snapToGrid w:val="0"/>
        <w:spacing w:line="530" w:lineRule="exact"/>
        <w:rPr>
          <w:color w:val="auto"/>
          <w:sz w:val="24"/>
          <w:highlight w:val="none"/>
        </w:rPr>
      </w:pP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（采购人或采购代理机构名称）：</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（供应商名称）郑重承诺：</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p>
    <w:p>
      <w:pPr>
        <w:tabs>
          <w:tab w:val="left" w:pos="6300"/>
        </w:tabs>
        <w:snapToGrid w:val="0"/>
        <w:spacing w:line="500" w:lineRule="exact"/>
        <w:ind w:firstLine="480" w:firstLineChars="200"/>
        <w:jc w:val="righ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pPr>
        <w:widowControl/>
        <w:spacing w:line="400" w:lineRule="exact"/>
        <w:ind w:firstLine="7920" w:firstLineChars="3300"/>
        <w:jc w:val="left"/>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（五）特定资格条件证书或证明文件</w:t>
      </w:r>
    </w:p>
    <w:p>
      <w:pPr>
        <w:widowControl/>
        <w:spacing w:line="400" w:lineRule="exact"/>
        <w:ind w:firstLine="480" w:firstLineChars="200"/>
        <w:jc w:val="left"/>
        <w:rPr>
          <w:rFonts w:hint="eastAsia" w:ascii="方正仿宋_GBK" w:hAnsi="宋体" w:eastAsia="方正仿宋_GBK"/>
          <w:color w:val="auto"/>
          <w:sz w:val="24"/>
          <w:szCs w:val="24"/>
          <w:highlight w:val="none"/>
        </w:rPr>
      </w:pPr>
    </w:p>
    <w:p>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r>
        <w:rPr>
          <w:rFonts w:ascii="方正仿宋_GBK" w:hAnsi="宋体" w:eastAsia="方正仿宋_GBK"/>
          <w:color w:val="auto"/>
          <w:sz w:val="24"/>
          <w:szCs w:val="24"/>
          <w:highlight w:val="none"/>
        </w:rPr>
        <w:br w:type="page"/>
      </w:r>
      <w:bookmarkStart w:id="223" w:name="_Toc65660383"/>
      <w:bookmarkStart w:id="224" w:name="_Toc17010"/>
      <w:bookmarkStart w:id="225" w:name="_Toc2080"/>
      <w:bookmarkStart w:id="226" w:name="_Toc106034812"/>
      <w:bookmarkStart w:id="227" w:name="_Toc15815"/>
      <w:r>
        <w:rPr>
          <w:rFonts w:hint="eastAsia" w:ascii="方正仿宋_GBK" w:hAnsi="宋体" w:eastAsia="方正仿宋_GBK"/>
          <w:color w:val="auto"/>
          <w:sz w:val="24"/>
          <w:highlight w:val="none"/>
        </w:rPr>
        <w:t>五、</w:t>
      </w:r>
      <w:bookmarkEnd w:id="220"/>
      <w:bookmarkEnd w:id="221"/>
      <w:bookmarkEnd w:id="222"/>
      <w:r>
        <w:rPr>
          <w:rFonts w:hint="eastAsia" w:ascii="方正仿宋_GBK" w:hAnsi="宋体" w:eastAsia="方正仿宋_GBK"/>
          <w:color w:val="auto"/>
          <w:sz w:val="24"/>
          <w:highlight w:val="none"/>
        </w:rPr>
        <w:t>其他资料</w:t>
      </w:r>
      <w:bookmarkEnd w:id="223"/>
      <w:bookmarkEnd w:id="224"/>
      <w:bookmarkEnd w:id="225"/>
      <w:bookmarkEnd w:id="226"/>
      <w:bookmarkEnd w:id="227"/>
    </w:p>
    <w:p>
      <w:pPr>
        <w:widowControl/>
        <w:spacing w:line="400" w:lineRule="exact"/>
        <w:ind w:firstLine="480" w:firstLineChars="200"/>
        <w:jc w:val="lef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spacing w:line="360" w:lineRule="auto"/>
        <w:jc w:val="center"/>
        <w:rPr>
          <w:rFonts w:hint="eastAsia" w:ascii="方正仿宋_GBK" w:hAnsi="仿宋" w:eastAsia="方正仿宋_GBK"/>
          <w:color w:val="auto"/>
          <w:highlight w:val="none"/>
        </w:rPr>
      </w:pPr>
      <w:r>
        <w:rPr>
          <w:rFonts w:hint="eastAsia" w:ascii="方正仿宋_GBK" w:hAnsi="仿宋" w:eastAsia="方正仿宋_GBK"/>
          <w:color w:val="auto"/>
          <w:highlight w:val="none"/>
        </w:rPr>
        <w:t>（结束）</w:t>
      </w:r>
    </w:p>
    <w:p>
      <w:pPr>
        <w:jc w:val="left"/>
        <w:rPr>
          <w:rFonts w:ascii="宋体" w:hAnsi="宋体" w:cs="宋体"/>
          <w:b/>
          <w:bCs/>
          <w:color w:val="auto"/>
          <w:sz w:val="32"/>
          <w:szCs w:val="32"/>
          <w:highlight w:val="none"/>
        </w:rPr>
      </w:pPr>
      <w:r>
        <w:rPr>
          <w:rFonts w:hint="eastAsia" w:ascii="方正仿宋_GBK" w:hAnsi="宋体" w:eastAsia="方正仿宋_GBK"/>
          <w:color w:val="auto"/>
          <w:sz w:val="24"/>
          <w:szCs w:val="24"/>
          <w:highlight w:val="none"/>
        </w:rPr>
        <w:br w:type="page"/>
      </w:r>
      <w:r>
        <w:rPr>
          <w:rFonts w:hint="eastAsia" w:ascii="宋体" w:hAnsi="宋体" w:cs="宋体"/>
          <w:b/>
          <w:bCs/>
          <w:color w:val="auto"/>
          <w:sz w:val="32"/>
          <w:szCs w:val="32"/>
          <w:highlight w:val="none"/>
        </w:rPr>
        <w:t>附件：重庆华大工程管理有限公司采购文件发售登记表</w:t>
      </w:r>
    </w:p>
    <w:p>
      <w:pPr>
        <w:jc w:val="left"/>
        <w:rPr>
          <w:rFonts w:ascii="宋体" w:hAnsi="宋体" w:cs="宋体"/>
          <w:b/>
          <w:bCs/>
          <w:color w:val="auto"/>
          <w:spacing w:val="40"/>
          <w:sz w:val="32"/>
          <w:szCs w:val="32"/>
          <w:highlight w:val="none"/>
        </w:rPr>
      </w:pPr>
    </w:p>
    <w:tbl>
      <w:tblPr>
        <w:tblStyle w:val="59"/>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w:t>
            </w:r>
          </w:p>
        </w:tc>
        <w:tc>
          <w:tcPr>
            <w:tcW w:w="8280" w:type="dxa"/>
            <w:gridSpan w:val="3"/>
            <w:noWrap w:val="0"/>
            <w:vAlign w:val="center"/>
          </w:tcPr>
          <w:p>
            <w:pPr>
              <w:jc w:val="center"/>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项目名称</w:t>
            </w:r>
          </w:p>
        </w:tc>
        <w:tc>
          <w:tcPr>
            <w:tcW w:w="8280" w:type="dxa"/>
            <w:gridSpan w:val="3"/>
            <w:noWrap w:val="0"/>
            <w:vAlign w:val="center"/>
          </w:tcPr>
          <w:p>
            <w:pPr>
              <w:jc w:val="center"/>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投标人名称</w:t>
            </w:r>
          </w:p>
        </w:tc>
        <w:tc>
          <w:tcPr>
            <w:tcW w:w="8280" w:type="dxa"/>
            <w:gridSpan w:val="3"/>
            <w:noWrap w:val="0"/>
            <w:vAlign w:val="bottom"/>
          </w:tcPr>
          <w:p>
            <w:pPr>
              <w:jc w:val="right"/>
              <w:rPr>
                <w:rFonts w:ascii="宋体" w:hAnsi="宋体" w:cs="宋体"/>
                <w:color w:val="auto"/>
                <w:sz w:val="30"/>
                <w:szCs w:val="30"/>
                <w:highlight w:val="none"/>
              </w:rPr>
            </w:pPr>
            <w:r>
              <w:rPr>
                <w:rFonts w:hint="eastAsia" w:ascii="宋体" w:hAnsi="宋体" w:cs="宋体"/>
                <w:color w:val="auto"/>
                <w:sz w:val="30"/>
                <w:szCs w:val="30"/>
                <w:highlight w:val="none"/>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联系人</w:t>
            </w:r>
          </w:p>
        </w:tc>
        <w:tc>
          <w:tcPr>
            <w:tcW w:w="1964" w:type="dxa"/>
            <w:noWrap w:val="0"/>
            <w:vAlign w:val="center"/>
          </w:tcPr>
          <w:p>
            <w:pPr>
              <w:jc w:val="left"/>
              <w:rPr>
                <w:rFonts w:ascii="宋体" w:hAnsi="宋体" w:cs="宋体"/>
                <w:color w:val="auto"/>
                <w:sz w:val="30"/>
                <w:szCs w:val="30"/>
                <w:highlight w:val="none"/>
              </w:rPr>
            </w:pPr>
          </w:p>
        </w:tc>
        <w:tc>
          <w:tcPr>
            <w:tcW w:w="1305" w:type="dxa"/>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手机</w:t>
            </w:r>
          </w:p>
        </w:tc>
        <w:tc>
          <w:tcPr>
            <w:tcW w:w="5011" w:type="dxa"/>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办公电话</w:t>
            </w:r>
          </w:p>
        </w:tc>
        <w:tc>
          <w:tcPr>
            <w:tcW w:w="1964" w:type="dxa"/>
            <w:noWrap w:val="0"/>
            <w:vAlign w:val="center"/>
          </w:tcPr>
          <w:p>
            <w:pPr>
              <w:jc w:val="left"/>
              <w:rPr>
                <w:rFonts w:ascii="宋体" w:hAnsi="宋体" w:cs="宋体"/>
                <w:color w:val="auto"/>
                <w:sz w:val="30"/>
                <w:szCs w:val="30"/>
                <w:highlight w:val="none"/>
              </w:rPr>
            </w:pPr>
          </w:p>
        </w:tc>
        <w:tc>
          <w:tcPr>
            <w:tcW w:w="1305" w:type="dxa"/>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传真</w:t>
            </w:r>
          </w:p>
        </w:tc>
        <w:tc>
          <w:tcPr>
            <w:tcW w:w="5011" w:type="dxa"/>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E-mail</w:t>
            </w:r>
          </w:p>
        </w:tc>
        <w:tc>
          <w:tcPr>
            <w:tcW w:w="8280" w:type="dxa"/>
            <w:gridSpan w:val="3"/>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单位地址</w:t>
            </w:r>
          </w:p>
        </w:tc>
        <w:tc>
          <w:tcPr>
            <w:tcW w:w="8280" w:type="dxa"/>
            <w:gridSpan w:val="3"/>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 xml:space="preserve">    日期：</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 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日    </w:t>
            </w:r>
          </w:p>
        </w:tc>
      </w:tr>
    </w:tbl>
    <w:p>
      <w:pPr>
        <w:widowControl/>
        <w:spacing w:line="400" w:lineRule="exact"/>
        <w:ind w:firstLine="480" w:firstLineChars="200"/>
        <w:jc w:val="left"/>
        <w:rPr>
          <w:rFonts w:hint="eastAsia" w:ascii="方正仿宋_GBK" w:hAnsi="宋体" w:eastAsia="方正仿宋_GBK"/>
          <w:color w:val="auto"/>
          <w:sz w:val="24"/>
          <w:szCs w:val="24"/>
          <w:highlight w:val="none"/>
        </w:rPr>
      </w:pPr>
    </w:p>
    <w:p>
      <w:pPr>
        <w:spacing w:line="360" w:lineRule="auto"/>
        <w:ind w:firstLine="480" w:firstLineChars="200"/>
        <w:rPr>
          <w:rFonts w:hint="eastAsia" w:ascii="方正仿宋_GBK" w:hAnsi="宋体" w:eastAsia="方正仿宋_GBK"/>
          <w:color w:val="auto"/>
          <w:sz w:val="24"/>
          <w:szCs w:val="24"/>
          <w:highlight w:val="none"/>
        </w:rPr>
      </w:pPr>
    </w:p>
    <w:p>
      <w:pPr>
        <w:spacing w:line="360" w:lineRule="auto"/>
        <w:jc w:val="center"/>
        <w:rPr>
          <w:rFonts w:hint="eastAsia" w:ascii="方正仿宋_GBK" w:hAnsi="仿宋" w:eastAsia="方正仿宋_GBK"/>
          <w:color w:val="auto"/>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3"/>
        <w:rFonts w:hint="eastAsia"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- 13 -</w:t>
    </w:r>
    <w:r>
      <w:rPr>
        <w:rFonts w:ascii="宋体"/>
        <w:sz w:val="21"/>
        <w:szCs w:val="21"/>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r>
      <w:fldChar w:fldCharType="begin"/>
    </w:r>
    <w:r>
      <w:rPr>
        <w:rStyle w:val="63"/>
      </w:rPr>
      <w:instrText xml:space="preserve">PAGE  </w:instrText>
    </w:r>
    <w:r>
      <w:fldChar w:fldCharType="separate"/>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p>
  <w:p>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r>
      <w:fldChar w:fldCharType="begin"/>
    </w:r>
    <w:r>
      <w:rPr>
        <w:rStyle w:val="63"/>
      </w:rPr>
      <w:instrText xml:space="preserve">PAGE  </w:instrText>
    </w:r>
    <w:r>
      <w:fldChar w:fldCharType="separate"/>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7FB3F"/>
    <w:multiLevelType w:val="singleLevel"/>
    <w:tmpl w:val="E8D7FB3F"/>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4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multilevel"/>
    <w:tmpl w:val="00000010"/>
    <w:lvl w:ilvl="0" w:tentative="0">
      <w:start w:val="1"/>
      <w:numFmt w:val="bullet"/>
      <w:pStyle w:val="226"/>
      <w:lvlText w:val=""/>
      <w:lvlJc w:val="left"/>
      <w:pPr>
        <w:tabs>
          <w:tab w:val="left" w:pos="1620"/>
        </w:tabs>
        <w:ind w:left="1620" w:hanging="360"/>
      </w:pPr>
      <w:rPr>
        <w:rFonts w:hint="default" w:ascii="Wingdings" w:hAnsi="Wingdings"/>
      </w:rPr>
    </w:lvl>
    <w:lvl w:ilvl="1" w:tentative="0">
      <w:start w:val="1"/>
      <w:numFmt w:val="decimal"/>
      <w:lvlText w:val="%2."/>
      <w:lvlJc w:val="left"/>
      <w:pPr>
        <w:tabs>
          <w:tab w:val="left" w:pos="1724"/>
        </w:tabs>
        <w:ind w:left="1724" w:hanging="360"/>
      </w:pPr>
    </w:lvl>
    <w:lvl w:ilvl="2" w:tentative="0">
      <w:start w:val="1"/>
      <w:numFmt w:val="decimal"/>
      <w:pStyle w:val="211"/>
      <w:lvlText w:val="%3."/>
      <w:lvlJc w:val="left"/>
      <w:pPr>
        <w:tabs>
          <w:tab w:val="left" w:pos="2444"/>
        </w:tabs>
        <w:ind w:left="2444" w:hanging="360"/>
      </w:pPr>
    </w:lvl>
    <w:lvl w:ilvl="3" w:tentative="0">
      <w:start w:val="1"/>
      <w:numFmt w:val="decimal"/>
      <w:lvlText w:val="%4."/>
      <w:lvlJc w:val="left"/>
      <w:pPr>
        <w:tabs>
          <w:tab w:val="left" w:pos="3164"/>
        </w:tabs>
        <w:ind w:left="3164" w:hanging="360"/>
      </w:pPr>
    </w:lvl>
    <w:lvl w:ilvl="4" w:tentative="0">
      <w:start w:val="1"/>
      <w:numFmt w:val="decimal"/>
      <w:lvlText w:val="%5."/>
      <w:lvlJc w:val="left"/>
      <w:pPr>
        <w:tabs>
          <w:tab w:val="left" w:pos="3884"/>
        </w:tabs>
        <w:ind w:left="3884" w:hanging="360"/>
      </w:pPr>
    </w:lvl>
    <w:lvl w:ilvl="5" w:tentative="0">
      <w:start w:val="1"/>
      <w:numFmt w:val="decimal"/>
      <w:lvlText w:val="%6."/>
      <w:lvlJc w:val="left"/>
      <w:pPr>
        <w:tabs>
          <w:tab w:val="left" w:pos="4604"/>
        </w:tabs>
        <w:ind w:left="4604" w:hanging="360"/>
      </w:pPr>
    </w:lvl>
    <w:lvl w:ilvl="6" w:tentative="0">
      <w:start w:val="1"/>
      <w:numFmt w:val="decimal"/>
      <w:lvlText w:val="%7."/>
      <w:lvlJc w:val="left"/>
      <w:pPr>
        <w:tabs>
          <w:tab w:val="left" w:pos="5324"/>
        </w:tabs>
        <w:ind w:left="5324" w:hanging="360"/>
      </w:pPr>
    </w:lvl>
    <w:lvl w:ilvl="7" w:tentative="0">
      <w:start w:val="1"/>
      <w:numFmt w:val="decimal"/>
      <w:lvlText w:val="%8."/>
      <w:lvlJc w:val="left"/>
      <w:pPr>
        <w:tabs>
          <w:tab w:val="left" w:pos="6044"/>
        </w:tabs>
        <w:ind w:left="6044" w:hanging="360"/>
      </w:pPr>
    </w:lvl>
    <w:lvl w:ilvl="8" w:tentative="0">
      <w:start w:val="1"/>
      <w:numFmt w:val="decimal"/>
      <w:lvlText w:val="%9."/>
      <w:lvlJc w:val="left"/>
      <w:pPr>
        <w:tabs>
          <w:tab w:val="left" w:pos="6764"/>
        </w:tabs>
        <w:ind w:left="6764" w:hanging="360"/>
      </w:pPr>
    </w:lvl>
  </w:abstractNum>
  <w:abstractNum w:abstractNumId="7">
    <w:nsid w:val="00000011"/>
    <w:multiLevelType w:val="multilevel"/>
    <w:tmpl w:val="00000011"/>
    <w:lvl w:ilvl="0" w:tentative="0">
      <w:start w:val="1"/>
      <w:numFmt w:val="decimal"/>
      <w:pStyle w:val="2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5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ABC91A8"/>
    <w:multiLevelType w:val="singleLevel"/>
    <w:tmpl w:val="0ABC91A8"/>
    <w:lvl w:ilvl="0" w:tentative="0">
      <w:start w:val="7"/>
      <w:numFmt w:val="chineseCounting"/>
      <w:suff w:val="space"/>
      <w:lvlText w:val="第%1篇"/>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12"/>
  </w:num>
  <w:num w:numId="7">
    <w:abstractNumId w:val="3"/>
  </w:num>
  <w:num w:numId="8">
    <w:abstractNumId w:val="5"/>
  </w:num>
  <w:num w:numId="9">
    <w:abstractNumId w:val="2"/>
  </w:num>
  <w:num w:numId="10">
    <w:abstractNumId w:val="11"/>
  </w:num>
  <w:num w:numId="11">
    <w:abstractNumId w:val="7"/>
  </w:num>
  <w:num w:numId="12">
    <w:abstractNumId w:val="8"/>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66B96D03"/>
    <w:rsid w:val="00002EAF"/>
    <w:rsid w:val="00002ECA"/>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97872"/>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E6418"/>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0E32"/>
    <w:rsid w:val="00124CD0"/>
    <w:rsid w:val="00124CF0"/>
    <w:rsid w:val="001266BF"/>
    <w:rsid w:val="00131054"/>
    <w:rsid w:val="00133D16"/>
    <w:rsid w:val="0013496A"/>
    <w:rsid w:val="00135B50"/>
    <w:rsid w:val="00135E0D"/>
    <w:rsid w:val="001363B2"/>
    <w:rsid w:val="00136457"/>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569"/>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085E"/>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15ED"/>
    <w:rsid w:val="0024359D"/>
    <w:rsid w:val="00244E68"/>
    <w:rsid w:val="002539DF"/>
    <w:rsid w:val="00254ADB"/>
    <w:rsid w:val="00263F49"/>
    <w:rsid w:val="002643C1"/>
    <w:rsid w:val="00265C1F"/>
    <w:rsid w:val="00267DDF"/>
    <w:rsid w:val="00270ED7"/>
    <w:rsid w:val="00271A27"/>
    <w:rsid w:val="00271D47"/>
    <w:rsid w:val="002721EA"/>
    <w:rsid w:val="00275FED"/>
    <w:rsid w:val="00280E8A"/>
    <w:rsid w:val="00281FA5"/>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677F"/>
    <w:rsid w:val="002B7904"/>
    <w:rsid w:val="002C0821"/>
    <w:rsid w:val="002C2507"/>
    <w:rsid w:val="002C2E6E"/>
    <w:rsid w:val="002C69BF"/>
    <w:rsid w:val="002C6DF1"/>
    <w:rsid w:val="002D6522"/>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76A"/>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67A80"/>
    <w:rsid w:val="00371328"/>
    <w:rsid w:val="00371D2F"/>
    <w:rsid w:val="00372D5B"/>
    <w:rsid w:val="0037335E"/>
    <w:rsid w:val="00375E03"/>
    <w:rsid w:val="0038344F"/>
    <w:rsid w:val="00384161"/>
    <w:rsid w:val="00387610"/>
    <w:rsid w:val="00396FFE"/>
    <w:rsid w:val="003973D3"/>
    <w:rsid w:val="003A01BE"/>
    <w:rsid w:val="003A0892"/>
    <w:rsid w:val="003A449E"/>
    <w:rsid w:val="003A501C"/>
    <w:rsid w:val="003A57F1"/>
    <w:rsid w:val="003A71F3"/>
    <w:rsid w:val="003B0EA5"/>
    <w:rsid w:val="003B19F5"/>
    <w:rsid w:val="003B2501"/>
    <w:rsid w:val="003B7725"/>
    <w:rsid w:val="003B7B71"/>
    <w:rsid w:val="003C0A38"/>
    <w:rsid w:val="003C7D3E"/>
    <w:rsid w:val="003D0E0A"/>
    <w:rsid w:val="003D1569"/>
    <w:rsid w:val="003E1F8A"/>
    <w:rsid w:val="003E4727"/>
    <w:rsid w:val="003E5324"/>
    <w:rsid w:val="003E5E67"/>
    <w:rsid w:val="00400D29"/>
    <w:rsid w:val="00401814"/>
    <w:rsid w:val="00402B32"/>
    <w:rsid w:val="00410C93"/>
    <w:rsid w:val="00411B4A"/>
    <w:rsid w:val="00412680"/>
    <w:rsid w:val="00413051"/>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95BF6"/>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C6B57"/>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47452"/>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1F23"/>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078D1"/>
    <w:rsid w:val="00610C5F"/>
    <w:rsid w:val="00613410"/>
    <w:rsid w:val="00615434"/>
    <w:rsid w:val="0061717E"/>
    <w:rsid w:val="00617986"/>
    <w:rsid w:val="006215F4"/>
    <w:rsid w:val="00625262"/>
    <w:rsid w:val="00627DD2"/>
    <w:rsid w:val="00635B4B"/>
    <w:rsid w:val="00640026"/>
    <w:rsid w:val="006414B7"/>
    <w:rsid w:val="00644B72"/>
    <w:rsid w:val="006510C0"/>
    <w:rsid w:val="00654A48"/>
    <w:rsid w:val="006552FD"/>
    <w:rsid w:val="00655374"/>
    <w:rsid w:val="0065651B"/>
    <w:rsid w:val="00664607"/>
    <w:rsid w:val="0066468B"/>
    <w:rsid w:val="00670089"/>
    <w:rsid w:val="00670560"/>
    <w:rsid w:val="00674E28"/>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6DF"/>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7E7"/>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3CF7"/>
    <w:rsid w:val="008B53D8"/>
    <w:rsid w:val="008B63A1"/>
    <w:rsid w:val="008C28C6"/>
    <w:rsid w:val="008C3708"/>
    <w:rsid w:val="008C510F"/>
    <w:rsid w:val="008D264D"/>
    <w:rsid w:val="008D4DD3"/>
    <w:rsid w:val="008D5EB0"/>
    <w:rsid w:val="008D6EBF"/>
    <w:rsid w:val="008E0E94"/>
    <w:rsid w:val="008E34A8"/>
    <w:rsid w:val="008E39CA"/>
    <w:rsid w:val="008E50B8"/>
    <w:rsid w:val="008E5635"/>
    <w:rsid w:val="008E66B8"/>
    <w:rsid w:val="008F00E5"/>
    <w:rsid w:val="008F1988"/>
    <w:rsid w:val="008F1F16"/>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148"/>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7C"/>
    <w:rsid w:val="009821C6"/>
    <w:rsid w:val="00983B43"/>
    <w:rsid w:val="009935C9"/>
    <w:rsid w:val="00996D2C"/>
    <w:rsid w:val="009A070C"/>
    <w:rsid w:val="009A2B07"/>
    <w:rsid w:val="009A33B7"/>
    <w:rsid w:val="009B6CE9"/>
    <w:rsid w:val="009B6D65"/>
    <w:rsid w:val="009C032D"/>
    <w:rsid w:val="009C10B5"/>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375F6"/>
    <w:rsid w:val="00A417D7"/>
    <w:rsid w:val="00A445DC"/>
    <w:rsid w:val="00A44BEA"/>
    <w:rsid w:val="00A527E2"/>
    <w:rsid w:val="00A53472"/>
    <w:rsid w:val="00A553F3"/>
    <w:rsid w:val="00A575D9"/>
    <w:rsid w:val="00A57A7E"/>
    <w:rsid w:val="00A60C8A"/>
    <w:rsid w:val="00A66DEB"/>
    <w:rsid w:val="00A67DFB"/>
    <w:rsid w:val="00A67FC1"/>
    <w:rsid w:val="00A711C6"/>
    <w:rsid w:val="00A71B75"/>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257B2"/>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2B98"/>
    <w:rsid w:val="00BB5D6B"/>
    <w:rsid w:val="00BB7494"/>
    <w:rsid w:val="00BB778C"/>
    <w:rsid w:val="00BC0431"/>
    <w:rsid w:val="00BC19B9"/>
    <w:rsid w:val="00BC1C91"/>
    <w:rsid w:val="00BC4A5C"/>
    <w:rsid w:val="00BD0FBA"/>
    <w:rsid w:val="00BD7B7F"/>
    <w:rsid w:val="00BE07A9"/>
    <w:rsid w:val="00BE0A4E"/>
    <w:rsid w:val="00BE33D1"/>
    <w:rsid w:val="00BF4FCD"/>
    <w:rsid w:val="00BF5230"/>
    <w:rsid w:val="00BF7EE4"/>
    <w:rsid w:val="00C1090C"/>
    <w:rsid w:val="00C1225D"/>
    <w:rsid w:val="00C1550E"/>
    <w:rsid w:val="00C23C73"/>
    <w:rsid w:val="00C240C8"/>
    <w:rsid w:val="00C24112"/>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36C6"/>
    <w:rsid w:val="00D05BAA"/>
    <w:rsid w:val="00D06924"/>
    <w:rsid w:val="00D07FB9"/>
    <w:rsid w:val="00D10112"/>
    <w:rsid w:val="00D121B8"/>
    <w:rsid w:val="00D13B7A"/>
    <w:rsid w:val="00D15F88"/>
    <w:rsid w:val="00D22C4B"/>
    <w:rsid w:val="00D230C7"/>
    <w:rsid w:val="00D23E7D"/>
    <w:rsid w:val="00D2405F"/>
    <w:rsid w:val="00D249AF"/>
    <w:rsid w:val="00D25FE3"/>
    <w:rsid w:val="00D30C7F"/>
    <w:rsid w:val="00D35D2A"/>
    <w:rsid w:val="00D36C73"/>
    <w:rsid w:val="00D41BA9"/>
    <w:rsid w:val="00D41F63"/>
    <w:rsid w:val="00D43888"/>
    <w:rsid w:val="00D456F3"/>
    <w:rsid w:val="00D46250"/>
    <w:rsid w:val="00D46D47"/>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C2AD0"/>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27B5"/>
    <w:rsid w:val="00E64B94"/>
    <w:rsid w:val="00E654A2"/>
    <w:rsid w:val="00E71934"/>
    <w:rsid w:val="00E7342C"/>
    <w:rsid w:val="00E75B15"/>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B729E"/>
    <w:rsid w:val="00EC0215"/>
    <w:rsid w:val="00EC029D"/>
    <w:rsid w:val="00EC0881"/>
    <w:rsid w:val="00EC3AB1"/>
    <w:rsid w:val="00ED05EA"/>
    <w:rsid w:val="00ED0742"/>
    <w:rsid w:val="00ED216E"/>
    <w:rsid w:val="00ED579F"/>
    <w:rsid w:val="00EE061A"/>
    <w:rsid w:val="00EE0F6C"/>
    <w:rsid w:val="00EE30AF"/>
    <w:rsid w:val="00EE67BB"/>
    <w:rsid w:val="00EE68E4"/>
    <w:rsid w:val="00EF2477"/>
    <w:rsid w:val="00F009EC"/>
    <w:rsid w:val="00F03062"/>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56A24"/>
    <w:rsid w:val="00F573CF"/>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3031"/>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0D649F"/>
    <w:rsid w:val="01757986"/>
    <w:rsid w:val="01D47896"/>
    <w:rsid w:val="01FE17AC"/>
    <w:rsid w:val="037F1AAB"/>
    <w:rsid w:val="0480254A"/>
    <w:rsid w:val="04D46D43"/>
    <w:rsid w:val="074B78AB"/>
    <w:rsid w:val="07D228EA"/>
    <w:rsid w:val="08C52A1E"/>
    <w:rsid w:val="0AA9619C"/>
    <w:rsid w:val="0CF62067"/>
    <w:rsid w:val="0DAB64B5"/>
    <w:rsid w:val="0E2055ED"/>
    <w:rsid w:val="10211A16"/>
    <w:rsid w:val="10766728"/>
    <w:rsid w:val="107752B0"/>
    <w:rsid w:val="119B7209"/>
    <w:rsid w:val="11A92009"/>
    <w:rsid w:val="129675E6"/>
    <w:rsid w:val="12D62551"/>
    <w:rsid w:val="12FD1B01"/>
    <w:rsid w:val="13763F01"/>
    <w:rsid w:val="13E32853"/>
    <w:rsid w:val="14F05E88"/>
    <w:rsid w:val="15166C71"/>
    <w:rsid w:val="15C1696D"/>
    <w:rsid w:val="18CD17F5"/>
    <w:rsid w:val="1B586C8A"/>
    <w:rsid w:val="1B6E01C3"/>
    <w:rsid w:val="1B893826"/>
    <w:rsid w:val="1BA4182E"/>
    <w:rsid w:val="1BD27C4D"/>
    <w:rsid w:val="1C746C70"/>
    <w:rsid w:val="1DF1193F"/>
    <w:rsid w:val="1E85324A"/>
    <w:rsid w:val="1ED03CC7"/>
    <w:rsid w:val="1ED8781E"/>
    <w:rsid w:val="212A1E8D"/>
    <w:rsid w:val="21D054F3"/>
    <w:rsid w:val="21E738ED"/>
    <w:rsid w:val="22511DC1"/>
    <w:rsid w:val="245B32B8"/>
    <w:rsid w:val="25EC31CF"/>
    <w:rsid w:val="25F15DB5"/>
    <w:rsid w:val="266A7FA7"/>
    <w:rsid w:val="27973775"/>
    <w:rsid w:val="28356835"/>
    <w:rsid w:val="29560760"/>
    <w:rsid w:val="2B286BC5"/>
    <w:rsid w:val="2B54022C"/>
    <w:rsid w:val="2B8B67B8"/>
    <w:rsid w:val="2C2D2523"/>
    <w:rsid w:val="2D894CF1"/>
    <w:rsid w:val="2E0B35A6"/>
    <w:rsid w:val="2E6A2F43"/>
    <w:rsid w:val="2F57706B"/>
    <w:rsid w:val="3023022E"/>
    <w:rsid w:val="34833930"/>
    <w:rsid w:val="34B2624E"/>
    <w:rsid w:val="352D5B87"/>
    <w:rsid w:val="35B90999"/>
    <w:rsid w:val="36EA2EF3"/>
    <w:rsid w:val="3A9E5DDE"/>
    <w:rsid w:val="3B0D2CD2"/>
    <w:rsid w:val="3BA164F8"/>
    <w:rsid w:val="3BBE2741"/>
    <w:rsid w:val="3BCB453B"/>
    <w:rsid w:val="3D396C7C"/>
    <w:rsid w:val="3DCA04B2"/>
    <w:rsid w:val="3FEE62E8"/>
    <w:rsid w:val="402E2983"/>
    <w:rsid w:val="40420B44"/>
    <w:rsid w:val="40BE466E"/>
    <w:rsid w:val="414C48A8"/>
    <w:rsid w:val="4311195E"/>
    <w:rsid w:val="446366DB"/>
    <w:rsid w:val="44637395"/>
    <w:rsid w:val="457B2B2E"/>
    <w:rsid w:val="45C1250B"/>
    <w:rsid w:val="461F6313"/>
    <w:rsid w:val="49EC224C"/>
    <w:rsid w:val="4A0C2326"/>
    <w:rsid w:val="4AB71F04"/>
    <w:rsid w:val="4D6F2A8C"/>
    <w:rsid w:val="4E3F2D9E"/>
    <w:rsid w:val="4F506BC0"/>
    <w:rsid w:val="507A13C8"/>
    <w:rsid w:val="51BB25F2"/>
    <w:rsid w:val="51D21FCD"/>
    <w:rsid w:val="52F460A0"/>
    <w:rsid w:val="52F61984"/>
    <w:rsid w:val="531E68CD"/>
    <w:rsid w:val="534722A1"/>
    <w:rsid w:val="53AB142E"/>
    <w:rsid w:val="545C6AF1"/>
    <w:rsid w:val="54897BE3"/>
    <w:rsid w:val="571B0A9E"/>
    <w:rsid w:val="58BA3A8F"/>
    <w:rsid w:val="58F01494"/>
    <w:rsid w:val="59D9651C"/>
    <w:rsid w:val="5BD75000"/>
    <w:rsid w:val="5D1B313B"/>
    <w:rsid w:val="5E8D20D7"/>
    <w:rsid w:val="5E910B3F"/>
    <w:rsid w:val="5F906D7E"/>
    <w:rsid w:val="649410BE"/>
    <w:rsid w:val="659C2B97"/>
    <w:rsid w:val="666A0BEA"/>
    <w:rsid w:val="66B96D03"/>
    <w:rsid w:val="68BB50C5"/>
    <w:rsid w:val="69E52920"/>
    <w:rsid w:val="6B4100ED"/>
    <w:rsid w:val="6BAC4F3F"/>
    <w:rsid w:val="6CBC2E72"/>
    <w:rsid w:val="70052E70"/>
    <w:rsid w:val="72026C0C"/>
    <w:rsid w:val="721C3F61"/>
    <w:rsid w:val="731A30D6"/>
    <w:rsid w:val="73D2575F"/>
    <w:rsid w:val="741017A0"/>
    <w:rsid w:val="75123F8E"/>
    <w:rsid w:val="768137C3"/>
    <w:rsid w:val="776668EA"/>
    <w:rsid w:val="77826902"/>
    <w:rsid w:val="789E5CA1"/>
    <w:rsid w:val="7904192A"/>
    <w:rsid w:val="795F1843"/>
    <w:rsid w:val="7A57740B"/>
    <w:rsid w:val="7BDE3C4E"/>
    <w:rsid w:val="7C94044F"/>
    <w:rsid w:val="7D1D5C9D"/>
    <w:rsid w:val="7E461224"/>
    <w:rsid w:val="7EED169F"/>
    <w:rsid w:val="7F414600"/>
    <w:rsid w:val="7FE40C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9"/>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70"/>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1">
    <w:name w:val="Default Paragraph Font"/>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customStyle="1" w:styleId="2">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7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7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3"/>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6"/>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1200" w:leftChars="1200" w:firstLine="0"/>
    </w:pPr>
    <w:rPr>
      <w:rFonts w:ascii="Times New Roman" w:hAnsi="Times New Roman" w:eastAsia="宋体" w:cs="Times New Roman"/>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afterLines="0" w:afterAutospacing="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3">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6">
    <w:name w:val="annotation subject"/>
    <w:basedOn w:val="20"/>
    <w:next w:val="20"/>
    <w:link w:val="77"/>
    <w:qFormat/>
    <w:uiPriority w:val="0"/>
    <w:pPr>
      <w:adjustRightInd/>
      <w:spacing w:line="240" w:lineRule="auto"/>
      <w:textAlignment w:val="auto"/>
    </w:pPr>
  </w:style>
  <w:style w:type="paragraph" w:styleId="57">
    <w:name w:val="Body Text First Indent"/>
    <w:basedOn w:val="23"/>
    <w:qFormat/>
    <w:uiPriority w:val="0"/>
    <w:pPr>
      <w:spacing w:line="360" w:lineRule="auto"/>
      <w:ind w:firstLine="420"/>
    </w:pPr>
    <w:rPr>
      <w:rFonts w:ascii="宋体" w:hAnsi="宋体"/>
      <w:sz w:val="24"/>
    </w:rPr>
  </w:style>
  <w:style w:type="paragraph" w:styleId="58">
    <w:name w:val="Body Text First Indent 2"/>
    <w:basedOn w:val="24"/>
    <w:link w:val="78"/>
    <w:qFormat/>
    <w:uiPriority w:val="0"/>
    <w:pPr>
      <w:spacing w:after="120" w:afterLines="0" w:line="240" w:lineRule="auto"/>
      <w:ind w:left="420" w:leftChars="200" w:firstLine="420" w:firstLineChars="200"/>
    </w:p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标题 2 Char"/>
    <w:link w:val="4"/>
    <w:qFormat/>
    <w:uiPriority w:val="0"/>
    <w:rPr>
      <w:rFonts w:ascii="Arial" w:hAnsi="Arial" w:eastAsia="黑体"/>
      <w:b/>
      <w:kern w:val="2"/>
      <w:sz w:val="32"/>
    </w:rPr>
  </w:style>
  <w:style w:type="character" w:customStyle="1" w:styleId="70">
    <w:name w:val="标题 3 Char"/>
    <w:link w:val="5"/>
    <w:qFormat/>
    <w:uiPriority w:val="0"/>
    <w:rPr>
      <w:rFonts w:eastAsia="宋体"/>
      <w:b/>
      <w:kern w:val="2"/>
      <w:sz w:val="32"/>
      <w:lang w:val="en-US" w:eastAsia="zh-CN"/>
    </w:rPr>
  </w:style>
  <w:style w:type="character" w:customStyle="1" w:styleId="71">
    <w:name w:val="批注文字 Char"/>
    <w:link w:val="20"/>
    <w:qFormat/>
    <w:uiPriority w:val="0"/>
    <w:rPr>
      <w:sz w:val="24"/>
    </w:rPr>
  </w:style>
  <w:style w:type="character" w:customStyle="1" w:styleId="72">
    <w:name w:val="正文文本缩进 Char"/>
    <w:link w:val="24"/>
    <w:qFormat/>
    <w:uiPriority w:val="0"/>
    <w:rPr>
      <w:kern w:val="2"/>
      <w:sz w:val="44"/>
    </w:rPr>
  </w:style>
  <w:style w:type="character" w:customStyle="1" w:styleId="73">
    <w:name w:val="纯文本 Char"/>
    <w:link w:val="31"/>
    <w:qFormat/>
    <w:uiPriority w:val="0"/>
    <w:rPr>
      <w:rFonts w:ascii="宋体" w:hAnsi="Courier New"/>
      <w:kern w:val="2"/>
      <w:sz w:val="21"/>
    </w:rPr>
  </w:style>
  <w:style w:type="character" w:customStyle="1" w:styleId="74">
    <w:name w:val="日期 Char"/>
    <w:link w:val="33"/>
    <w:qFormat/>
    <w:uiPriority w:val="0"/>
    <w:rPr>
      <w:kern w:val="2"/>
      <w:sz w:val="28"/>
    </w:rPr>
  </w:style>
  <w:style w:type="character" w:customStyle="1" w:styleId="75">
    <w:name w:val="正文文本缩进 2 Char"/>
    <w:link w:val="34"/>
    <w:qFormat/>
    <w:uiPriority w:val="0"/>
    <w:rPr>
      <w:kern w:val="2"/>
      <w:sz w:val="28"/>
    </w:rPr>
  </w:style>
  <w:style w:type="character" w:customStyle="1" w:styleId="76">
    <w:name w:val="脚注文本 Char"/>
    <w:link w:val="41"/>
    <w:qFormat/>
    <w:uiPriority w:val="0"/>
    <w:rPr>
      <w:kern w:val="2"/>
      <w:sz w:val="18"/>
    </w:rPr>
  </w:style>
  <w:style w:type="character" w:customStyle="1" w:styleId="77">
    <w:name w:val="批注主题 Char"/>
    <w:link w:val="56"/>
    <w:qFormat/>
    <w:uiPriority w:val="0"/>
  </w:style>
  <w:style w:type="character" w:customStyle="1" w:styleId="78">
    <w:name w:val="正文首行缩进 2 Char"/>
    <w:link w:val="58"/>
    <w:qFormat/>
    <w:uiPriority w:val="0"/>
  </w:style>
  <w:style w:type="character" w:customStyle="1" w:styleId="79">
    <w:name w:val="content-white1"/>
    <w:qFormat/>
    <w:uiPriority w:val="0"/>
    <w:rPr>
      <w:rFonts w:ascii="_x000B__x000C_" w:hAnsi="_x000B__x000C_"/>
      <w:color w:val="auto"/>
      <w:sz w:val="18"/>
      <w:u w:val="none"/>
    </w:rPr>
  </w:style>
  <w:style w:type="character" w:customStyle="1" w:styleId="80">
    <w:name w:val=" Char Char3"/>
    <w:qFormat/>
    <w:uiPriority w:val="0"/>
    <w:rPr>
      <w:rFonts w:eastAsia="宋体"/>
      <w:kern w:val="2"/>
      <w:sz w:val="18"/>
      <w:lang w:val="en-US" w:eastAsia="zh-CN"/>
    </w:rPr>
  </w:style>
  <w:style w:type="character" w:customStyle="1" w:styleId="81">
    <w:name w:val="Table Text Char Char Char Char"/>
    <w:link w:val="82"/>
    <w:qFormat/>
    <w:uiPriority w:val="0"/>
    <w:rPr>
      <w:rFonts w:ascii="Arial" w:hAnsi="Arial"/>
      <w:kern w:val="2"/>
      <w:sz w:val="18"/>
      <w:lang w:val="en-US" w:eastAsia="zh-CN" w:bidi="ar-SA"/>
    </w:rPr>
  </w:style>
  <w:style w:type="paragraph" w:customStyle="1" w:styleId="82">
    <w:name w:val="Table Text Char Char Char"/>
    <w:link w:val="81"/>
    <w:qFormat/>
    <w:uiPriority w:val="0"/>
    <w:pPr>
      <w:snapToGrid w:val="0"/>
      <w:spacing w:before="80" w:after="80"/>
    </w:pPr>
    <w:rPr>
      <w:rFonts w:ascii="Arial" w:hAnsi="Arial" w:eastAsia="宋体" w:cs="Times New Roman"/>
      <w:kern w:val="2"/>
      <w:sz w:val="18"/>
      <w:lang w:val="en-US" w:eastAsia="zh-CN" w:bidi="ar-SA"/>
    </w:rPr>
  </w:style>
  <w:style w:type="character" w:customStyle="1" w:styleId="83">
    <w:name w:val=" Char Char7"/>
    <w:qFormat/>
    <w:uiPriority w:val="0"/>
    <w:rPr>
      <w:rFonts w:ascii="宋体" w:hAnsi="宋体" w:eastAsia="宋体"/>
      <w:kern w:val="2"/>
      <w:sz w:val="28"/>
    </w:rPr>
  </w:style>
  <w:style w:type="character" w:customStyle="1" w:styleId="84">
    <w:name w:val="未命名11"/>
    <w:qFormat/>
    <w:uiPriority w:val="0"/>
    <w:rPr>
      <w:color w:val="77FFFF"/>
      <w:sz w:val="24"/>
    </w:rPr>
  </w:style>
  <w:style w:type="character" w:customStyle="1" w:styleId="85">
    <w:name w:val="小 Char"/>
    <w:qFormat/>
    <w:uiPriority w:val="0"/>
    <w:rPr>
      <w:rFonts w:ascii="宋体" w:hAnsi="Courier New" w:eastAsia="宋体"/>
      <w:kern w:val="2"/>
      <w:sz w:val="21"/>
      <w:lang w:val="en-US" w:eastAsia="zh-CN" w:bidi="ar-SA"/>
    </w:rPr>
  </w:style>
  <w:style w:type="character" w:customStyle="1" w:styleId="86">
    <w:name w:val="文字 Char"/>
    <w:link w:val="87"/>
    <w:qFormat/>
    <w:uiPriority w:val="0"/>
    <w:rPr>
      <w:rFonts w:ascii="宋体"/>
      <w:kern w:val="2"/>
      <w:sz w:val="28"/>
    </w:rPr>
  </w:style>
  <w:style w:type="paragraph" w:customStyle="1" w:styleId="87">
    <w:name w:val="文字"/>
    <w:basedOn w:val="1"/>
    <w:link w:val="86"/>
    <w:qFormat/>
    <w:uiPriority w:val="0"/>
    <w:pPr>
      <w:tabs>
        <w:tab w:val="left" w:pos="8520"/>
      </w:tabs>
      <w:spacing w:line="312" w:lineRule="auto"/>
      <w:ind w:right="-210" w:firstLine="556"/>
    </w:pPr>
    <w:rPr>
      <w:rFonts w:ascii="宋体"/>
    </w:rPr>
  </w:style>
  <w:style w:type="character" w:customStyle="1" w:styleId="88">
    <w:name w:val="v151"/>
    <w:qFormat/>
    <w:uiPriority w:val="0"/>
    <w:rPr>
      <w:sz w:val="18"/>
    </w:rPr>
  </w:style>
  <w:style w:type="character" w:customStyle="1" w:styleId="89">
    <w:name w:val=" Char Char2"/>
    <w:qFormat/>
    <w:uiPriority w:val="0"/>
    <w:rPr>
      <w:rFonts w:eastAsia="宋体"/>
      <w:kern w:val="2"/>
      <w:sz w:val="18"/>
      <w:lang w:val="en-US" w:eastAsia="zh-CN"/>
    </w:rPr>
  </w:style>
  <w:style w:type="character" w:customStyle="1" w:styleId="90">
    <w:name w:val="Table Text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Table Heading Char Char"/>
    <w:qFormat/>
    <w:uiPriority w:val="0"/>
    <w:rPr>
      <w:rFonts w:ascii="Arial" w:hAnsi="Arial" w:eastAsia="黑体"/>
      <w:kern w:val="2"/>
      <w:sz w:val="18"/>
      <w:lang w:val="en-US" w:eastAsia="zh-CN"/>
    </w:rPr>
  </w:style>
  <w:style w:type="character" w:customStyle="1" w:styleId="93">
    <w:name w:val=" Char Char11"/>
    <w:qFormat/>
    <w:uiPriority w:val="0"/>
    <w:rPr>
      <w:rFonts w:ascii="宋体"/>
      <w:kern w:val="2"/>
      <w:sz w:val="28"/>
    </w:rPr>
  </w:style>
  <w:style w:type="character" w:customStyle="1" w:styleId="94">
    <w:name w:val="样式 宋体"/>
    <w:qFormat/>
    <w:uiPriority w:val="0"/>
    <w:rPr>
      <w:rFonts w:ascii="宋体" w:hAnsi="宋体" w:eastAsia="宋体"/>
      <w:sz w:val="28"/>
    </w:rPr>
  </w:style>
  <w:style w:type="character" w:customStyle="1" w:styleId="95">
    <w:name w:val="正文 + 三号 Char"/>
    <w:qFormat/>
    <w:uiPriority w:val="0"/>
    <w:rPr>
      <w:rFonts w:eastAsia="宋体"/>
      <w:kern w:val="2"/>
      <w:sz w:val="21"/>
      <w:lang w:val="en-US" w:eastAsia="zh-CN"/>
    </w:rPr>
  </w:style>
  <w:style w:type="character" w:customStyle="1" w:styleId="96">
    <w:name w:val="crowed11"/>
    <w:qFormat/>
    <w:uiPriority w:val="0"/>
    <w:rPr>
      <w:rFonts w:hint="default" w:ascii="_x000B__x000C_" w:hAnsi="_x000B__x000C_"/>
      <w:sz w:val="24"/>
    </w:rPr>
  </w:style>
  <w:style w:type="character" w:customStyle="1" w:styleId="97">
    <w:name w:val="font1"/>
    <w:qFormat/>
    <w:uiPriority w:val="0"/>
    <w:rPr>
      <w:color w:val="000000"/>
      <w:sz w:val="18"/>
    </w:rPr>
  </w:style>
  <w:style w:type="character" w:customStyle="1" w:styleId="98">
    <w:name w:val="H2 Char"/>
    <w:qFormat/>
    <w:uiPriority w:val="0"/>
    <w:rPr>
      <w:rFonts w:ascii="Arial" w:hAnsi="Arial" w:eastAsia="宋体"/>
      <w:kern w:val="2"/>
      <w:sz w:val="28"/>
      <w:lang w:val="en-US" w:eastAsia="zh-CN"/>
    </w:rPr>
  </w:style>
  <w:style w:type="character" w:customStyle="1" w:styleId="99">
    <w:name w:val=" Char Char4"/>
    <w:qFormat/>
    <w:uiPriority w:val="0"/>
    <w:rPr>
      <w:rFonts w:eastAsia="宋体"/>
      <w:b/>
      <w:kern w:val="2"/>
      <w:sz w:val="21"/>
      <w:lang w:val="en-US" w:eastAsia="zh-CN"/>
    </w:rPr>
  </w:style>
  <w:style w:type="character" w:customStyle="1" w:styleId="100">
    <w:name w:val="title_emph1"/>
    <w:qFormat/>
    <w:uiPriority w:val="0"/>
    <w:rPr>
      <w:rFonts w:hint="default" w:ascii="Arial" w:hAnsi="Arial"/>
      <w:b/>
      <w:sz w:val="20"/>
    </w:rPr>
  </w:style>
  <w:style w:type="character" w:customStyle="1" w:styleId="101">
    <w:name w:val=" Char Char6"/>
    <w:qFormat/>
    <w:uiPriority w:val="0"/>
    <w:rPr>
      <w:rFonts w:ascii="仿宋_GB2312" w:eastAsia="仿宋_GB2312"/>
      <w:kern w:val="2"/>
      <w:sz w:val="32"/>
    </w:rPr>
  </w:style>
  <w:style w:type="character" w:customStyle="1" w:styleId="102">
    <w:name w:val="top-det1"/>
    <w:qFormat/>
    <w:uiPriority w:val="0"/>
    <w:rPr>
      <w:b/>
      <w:color w:val="000000"/>
    </w:rPr>
  </w:style>
  <w:style w:type="character" w:customStyle="1" w:styleId="103">
    <w:name w:val=" Char Char5"/>
    <w:qFormat/>
    <w:uiPriority w:val="0"/>
    <w:rPr>
      <w:rFonts w:ascii="Arial" w:hAnsi="Arial" w:eastAsia="宋体"/>
      <w:b/>
      <w:smallCaps/>
      <w:kern w:val="28"/>
      <w:sz w:val="36"/>
      <w:lang w:val="en-US" w:eastAsia="en-US"/>
    </w:rPr>
  </w:style>
  <w:style w:type="character" w:customStyle="1" w:styleId="104">
    <w:name w:val="标书正文:  0.74 厘米 Char1"/>
    <w:qFormat/>
    <w:uiPriority w:val="0"/>
    <w:rPr>
      <w:rFonts w:eastAsia="宋体"/>
      <w:kern w:val="2"/>
      <w:sz w:val="24"/>
      <w:lang w:val="en-US" w:eastAsia="zh-CN"/>
    </w:rPr>
  </w:style>
  <w:style w:type="character" w:customStyle="1" w:styleId="105">
    <w:name w:val="Table Text Char1 Char"/>
    <w:qFormat/>
    <w:uiPriority w:val="0"/>
    <w:rPr>
      <w:rFonts w:ascii="Arial" w:hAnsi="Arial"/>
      <w:kern w:val="2"/>
      <w:sz w:val="18"/>
      <w:lang w:val="en-US" w:eastAsia="zh-CN" w:bidi="ar-SA"/>
    </w:rPr>
  </w:style>
  <w:style w:type="character" w:customStyle="1" w:styleId="106">
    <w:name w:val=" Char Char"/>
    <w:qFormat/>
    <w:uiPriority w:val="0"/>
    <w:rPr>
      <w:rFonts w:ascii="宋体" w:hAnsi="宋体" w:eastAsia="宋体"/>
      <w:kern w:val="2"/>
      <w:sz w:val="24"/>
      <w:lang w:val="en-US" w:eastAsia="zh-CN" w:bidi="ar-SA"/>
    </w:rPr>
  </w:style>
  <w:style w:type="paragraph" w:customStyle="1" w:styleId="107">
    <w:name w:val="IN Feature"/>
    <w:next w:val="10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8">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9">
    <w:name w:val="表文字"/>
    <w:qFormat/>
    <w:uiPriority w:val="0"/>
    <w:rPr>
      <w:rFonts w:ascii="宋体" w:hAnsi="Times New Roman" w:eastAsia="宋体" w:cs="Times New Roman"/>
      <w:kern w:val="2"/>
      <w:lang w:val="en-US" w:eastAsia="zh-CN" w:bidi="ar-SA"/>
    </w:rPr>
  </w:style>
  <w:style w:type="paragraph" w:customStyle="1" w:styleId="11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2">
    <w:name w:val="Char1 Char Char Char"/>
    <w:basedOn w:val="1"/>
    <w:qFormat/>
    <w:uiPriority w:val="0"/>
    <w:rPr>
      <w:rFonts w:ascii="Tahoma" w:hAnsi="Tahoma"/>
      <w:sz w:val="30"/>
    </w:rPr>
  </w:style>
  <w:style w:type="paragraph" w:customStyle="1" w:styleId="113">
    <w:name w:val="二级列表"/>
    <w:basedOn w:val="114"/>
    <w:next w:val="114"/>
    <w:qFormat/>
    <w:uiPriority w:val="0"/>
    <w:pPr>
      <w:tabs>
        <w:tab w:val="left" w:pos="2120"/>
      </w:tabs>
      <w:ind w:firstLine="0" w:firstLineChars="0"/>
    </w:pPr>
    <w:rPr>
      <w:b/>
    </w:rPr>
  </w:style>
  <w:style w:type="paragraph" w:customStyle="1" w:styleId="114">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5">
    <w:name w:val="00"/>
    <w:basedOn w:val="1"/>
    <w:qFormat/>
    <w:uiPriority w:val="0"/>
    <w:pPr>
      <w:autoSpaceDE w:val="0"/>
      <w:autoSpaceDN w:val="0"/>
      <w:adjustRightInd w:val="0"/>
      <w:jc w:val="left"/>
    </w:pPr>
    <w:rPr>
      <w:rFonts w:ascii="黑体" w:eastAsia="黑体"/>
      <w:b/>
      <w:kern w:val="0"/>
      <w:sz w:val="20"/>
    </w:rPr>
  </w:style>
  <w:style w:type="paragraph" w:customStyle="1" w:styleId="116">
    <w:name w:val="1.正文"/>
    <w:basedOn w:val="1"/>
    <w:qFormat/>
    <w:uiPriority w:val="0"/>
    <w:pPr>
      <w:spacing w:line="360" w:lineRule="auto"/>
      <w:ind w:left="540" w:leftChars="225" w:firstLine="540" w:firstLineChars="225"/>
    </w:pPr>
    <w:rPr>
      <w:sz w:val="24"/>
    </w:rPr>
  </w:style>
  <w:style w:type="paragraph" w:customStyle="1" w:styleId="117">
    <w:name w:val="内容标题"/>
    <w:basedOn w:val="18"/>
    <w:qFormat/>
    <w:uiPriority w:val="0"/>
    <w:rPr>
      <w:rFonts w:ascii="Tahoma" w:hAnsi="Tahoma"/>
      <w:sz w:val="24"/>
    </w:rPr>
  </w:style>
  <w:style w:type="paragraph" w:customStyle="1" w:styleId="11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9">
    <w:name w:val="表头"/>
    <w:basedOn w:val="120"/>
    <w:qFormat/>
    <w:uiPriority w:val="0"/>
    <w:pPr>
      <w:jc w:val="center"/>
    </w:pPr>
    <w:rPr>
      <w:b/>
      <w:bCs/>
    </w:rPr>
  </w:style>
  <w:style w:type="paragraph" w:customStyle="1" w:styleId="120">
    <w:name w:val="表格正文"/>
    <w:basedOn w:val="1"/>
    <w:qFormat/>
    <w:uiPriority w:val="0"/>
    <w:rPr>
      <w:rFonts w:ascii="Calibri" w:hAnsi="Calibri" w:eastAsia="仿宋" w:cs="宋体"/>
      <w:sz w:val="24"/>
    </w:rPr>
  </w:style>
  <w:style w:type="paragraph" w:customStyle="1" w:styleId="121">
    <w:name w:val="正文1"/>
    <w:basedOn w:val="1"/>
    <w:qFormat/>
    <w:uiPriority w:val="0"/>
    <w:pPr>
      <w:spacing w:line="300" w:lineRule="auto"/>
      <w:ind w:firstLine="200" w:firstLineChars="200"/>
    </w:pPr>
    <w:rPr>
      <w:sz w:val="24"/>
    </w:rPr>
  </w:style>
  <w:style w:type="paragraph" w:customStyle="1" w:styleId="12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3">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24">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7">
    <w:name w:val="Title - Date"/>
    <w:basedOn w:val="55"/>
    <w:next w:val="1"/>
    <w:qFormat/>
    <w:uiPriority w:val="0"/>
    <w:pPr>
      <w:spacing w:before="240" w:beforeLines="0" w:beforeAutospacing="0" w:after="720" w:afterLines="0" w:afterAutospacing="0"/>
    </w:pPr>
    <w:rPr>
      <w:sz w:val="28"/>
    </w:rPr>
  </w:style>
  <w:style w:type="paragraph" w:customStyle="1" w:styleId="128">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9">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30">
    <w:name w:val=" Char1 Char Char Char"/>
    <w:basedOn w:val="1"/>
    <w:qFormat/>
    <w:uiPriority w:val="0"/>
    <w:rPr>
      <w:rFonts w:ascii="Tahoma" w:hAnsi="Tahoma"/>
      <w:sz w:val="24"/>
    </w:rPr>
  </w:style>
  <w:style w:type="paragraph" w:customStyle="1" w:styleId="131">
    <w:name w:val=" Char1"/>
    <w:basedOn w:val="1"/>
    <w:qFormat/>
    <w:uiPriority w:val="0"/>
    <w:rPr>
      <w:sz w:val="21"/>
    </w:rPr>
  </w:style>
  <w:style w:type="paragraph" w:customStyle="1" w:styleId="132">
    <w:name w:val="表头样式"/>
    <w:basedOn w:val="1"/>
    <w:qFormat/>
    <w:uiPriority w:val="0"/>
    <w:pPr>
      <w:autoSpaceDE w:val="0"/>
      <w:autoSpaceDN w:val="0"/>
      <w:adjustRightInd w:val="0"/>
      <w:spacing w:line="360" w:lineRule="auto"/>
      <w:jc w:val="left"/>
    </w:pPr>
    <w:rPr>
      <w:b/>
      <w:kern w:val="0"/>
      <w:sz w:val="21"/>
    </w:rPr>
  </w:style>
  <w:style w:type="paragraph" w:customStyle="1" w:styleId="133">
    <w:name w:val="样式 正文缩进正文（首行缩进两字）表正文正文非缩进特点标题4段1 + 首行缩进:  2 字符"/>
    <w:basedOn w:val="16"/>
    <w:qFormat/>
    <w:uiPriority w:val="0"/>
    <w:pPr>
      <w:ind w:firstLine="480" w:firstLineChars="200"/>
    </w:pPr>
  </w:style>
  <w:style w:type="paragraph" w:customStyle="1" w:styleId="134">
    <w:name w:val="样式4"/>
    <w:basedOn w:val="6"/>
    <w:qFormat/>
    <w:uiPriority w:val="0"/>
    <w:pPr>
      <w:adjustRightInd w:val="0"/>
      <w:snapToGrid w:val="0"/>
    </w:pPr>
  </w:style>
  <w:style w:type="paragraph" w:customStyle="1" w:styleId="135">
    <w:name w:val="Body Text Indent 2"/>
    <w:basedOn w:val="1"/>
    <w:qFormat/>
    <w:uiPriority w:val="0"/>
    <w:pPr>
      <w:adjustRightInd w:val="0"/>
      <w:spacing w:before="120" w:beforeLines="0" w:beforeAutospacing="0"/>
      <w:ind w:firstLine="420"/>
      <w:textAlignment w:val="baseline"/>
    </w:pPr>
    <w:rPr>
      <w:sz w:val="24"/>
    </w:rPr>
  </w:style>
  <w:style w:type="paragraph" w:customStyle="1" w:styleId="136">
    <w:name w:val="首行缩进 1"/>
    <w:basedOn w:val="1"/>
    <w:qFormat/>
    <w:uiPriority w:val="0"/>
    <w:pPr>
      <w:spacing w:after="120" w:afterLines="0" w:afterAutospacing="0" w:line="360" w:lineRule="auto"/>
      <w:ind w:firstLine="200" w:firstLineChars="200"/>
    </w:pPr>
    <w:rPr>
      <w:sz w:val="24"/>
    </w:rPr>
  </w:style>
  <w:style w:type="paragraph" w:customStyle="1" w:styleId="137">
    <w:name w:val="样式 首行缩进:  0.74 厘米"/>
    <w:basedOn w:val="1"/>
    <w:qFormat/>
    <w:uiPriority w:val="0"/>
    <w:pPr>
      <w:spacing w:line="360" w:lineRule="auto"/>
      <w:ind w:firstLine="420"/>
    </w:pPr>
    <w:rPr>
      <w:sz w:val="24"/>
    </w:rPr>
  </w:style>
  <w:style w:type="paragraph" w:customStyle="1" w:styleId="13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0">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1">
    <w:name w:val="Title - Revision"/>
    <w:basedOn w:val="55"/>
    <w:qFormat/>
    <w:uiPriority w:val="0"/>
    <w:pPr>
      <w:spacing w:before="720" w:beforeLines="0" w:beforeAutospacing="0"/>
    </w:pPr>
  </w:style>
  <w:style w:type="paragraph" w:customStyle="1" w:styleId="142">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4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4">
    <w:name w:val="1"/>
    <w:basedOn w:val="1"/>
    <w:next w:val="31"/>
    <w:qFormat/>
    <w:uiPriority w:val="0"/>
    <w:rPr>
      <w:rFonts w:ascii="宋体" w:hAnsi="Courier New"/>
      <w:sz w:val="21"/>
    </w:rPr>
  </w:style>
  <w:style w:type="paragraph" w:customStyle="1" w:styleId="145">
    <w:name w:val="Table Contents"/>
    <w:basedOn w:val="23"/>
    <w:qFormat/>
    <w:uiPriority w:val="0"/>
    <w:pPr>
      <w:suppressAutoHyphens/>
      <w:jc w:val="left"/>
    </w:pPr>
    <w:rPr>
      <w:rFonts w:ascii="Times New Roman" w:eastAsia="Times New Roman"/>
      <w:kern w:val="0"/>
      <w:sz w:val="24"/>
    </w:rPr>
  </w:style>
  <w:style w:type="paragraph" w:customStyle="1" w:styleId="146">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7">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8">
    <w:name w:val="Char Char Char Char Char Char Char"/>
    <w:basedOn w:val="18"/>
    <w:qFormat/>
    <w:uiPriority w:val="0"/>
    <w:rPr>
      <w:rFonts w:ascii="宋体" w:hAnsi="Tahoma"/>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标题无"/>
    <w:basedOn w:val="1"/>
    <w:qFormat/>
    <w:uiPriority w:val="0"/>
    <w:pPr>
      <w:spacing w:line="360" w:lineRule="auto"/>
    </w:pPr>
    <w:rPr>
      <w:sz w:val="24"/>
    </w:rPr>
  </w:style>
  <w:style w:type="paragraph" w:customStyle="1" w:styleId="151">
    <w:name w:val="样式1"/>
    <w:basedOn w:val="6"/>
    <w:qFormat/>
    <w:uiPriority w:val="0"/>
    <w:pPr>
      <w:tabs>
        <w:tab w:val="left" w:pos="720"/>
      </w:tabs>
      <w:spacing w:before="500" w:beforeLines="0" w:beforeAutospacing="0" w:after="260" w:afterLines="0" w:afterAutospacing="0" w:line="560" w:lineRule="atLeast"/>
      <w:ind w:left="420" w:hanging="420"/>
    </w:pPr>
  </w:style>
  <w:style w:type="paragraph" w:customStyle="1" w:styleId="152">
    <w:name w:val="二级条标题"/>
    <w:basedOn w:val="153"/>
    <w:next w:val="155"/>
    <w:qFormat/>
    <w:uiPriority w:val="0"/>
    <w:pPr>
      <w:ind w:left="840"/>
      <w:outlineLvl w:val="3"/>
    </w:pPr>
  </w:style>
  <w:style w:type="paragraph" w:customStyle="1" w:styleId="153">
    <w:name w:val="一级条标题"/>
    <w:basedOn w:val="154"/>
    <w:next w:val="155"/>
    <w:qFormat/>
    <w:uiPriority w:val="0"/>
    <w:pPr>
      <w:numPr>
        <w:ilvl w:val="1"/>
        <w:numId w:val="0"/>
      </w:numPr>
      <w:spacing w:before="0" w:beforeLines="0" w:beforeAutospacing="0" w:after="0" w:afterLines="0" w:afterAutospacing="0"/>
      <w:ind w:left="525"/>
      <w:outlineLvl w:val="2"/>
    </w:pPr>
    <w:rPr>
      <w:sz w:val="21"/>
    </w:rPr>
  </w:style>
  <w:style w:type="paragraph" w:customStyle="1" w:styleId="154">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6">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7">
    <w:name w:val="关键词"/>
    <w:basedOn w:val="1"/>
    <w:next w:val="1"/>
    <w:qFormat/>
    <w:uiPriority w:val="0"/>
    <w:pPr>
      <w:spacing w:line="360" w:lineRule="auto"/>
    </w:pPr>
    <w:rPr>
      <w:rFonts w:eastAsia="黑体"/>
      <w:sz w:val="20"/>
    </w:rPr>
  </w:style>
  <w:style w:type="paragraph" w:customStyle="1" w:styleId="158">
    <w:name w:val="样式2"/>
    <w:basedOn w:val="6"/>
    <w:qFormat/>
    <w:uiPriority w:val="0"/>
    <w:pPr>
      <w:numPr>
        <w:ilvl w:val="0"/>
        <w:numId w:val="6"/>
      </w:numPr>
      <w:spacing w:before="560" w:beforeLines="0" w:line="400" w:lineRule="exact"/>
      <w:jc w:val="center"/>
      <w:outlineLvl w:val="0"/>
    </w:pPr>
    <w:rPr>
      <w:b w:val="0"/>
      <w:sz w:val="44"/>
    </w:rPr>
  </w:style>
  <w:style w:type="paragraph" w:customStyle="1" w:styleId="159">
    <w:name w:val="表头文本"/>
    <w:qFormat/>
    <w:uiPriority w:val="0"/>
    <w:pPr>
      <w:jc w:val="center"/>
    </w:pPr>
    <w:rPr>
      <w:rFonts w:ascii="Arial" w:hAnsi="Arial" w:eastAsia="宋体" w:cs="Times New Roman"/>
      <w:b/>
      <w:sz w:val="21"/>
      <w:lang w:val="en-US" w:eastAsia="zh-CN" w:bidi="ar-SA"/>
    </w:rPr>
  </w:style>
  <w:style w:type="paragraph" w:customStyle="1" w:styleId="160">
    <w:name w:val="_Style 157"/>
    <w:qFormat/>
    <w:uiPriority w:val="0"/>
    <w:rPr>
      <w:rFonts w:ascii="Times New Roman" w:hAnsi="Times New Roman" w:eastAsia="宋体" w:cs="Times New Roman"/>
      <w:kern w:val="2"/>
      <w:sz w:val="21"/>
      <w:lang w:val="en-US" w:eastAsia="zh-CN" w:bidi="ar-SA"/>
    </w:rPr>
  </w:style>
  <w:style w:type="paragraph" w:customStyle="1" w:styleId="161">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2">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8">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9">
    <w:name w:val="样式1xz"/>
    <w:basedOn w:val="1"/>
    <w:qFormat/>
    <w:uiPriority w:val="0"/>
    <w:pPr>
      <w:tabs>
        <w:tab w:val="left" w:pos="1050"/>
        <w:tab w:val="right" w:leader="dot" w:pos="8296"/>
      </w:tabs>
    </w:pPr>
    <w:rPr>
      <w:caps/>
      <w:spacing w:val="20"/>
      <w:sz w:val="24"/>
    </w:rPr>
  </w:style>
  <w:style w:type="paragraph" w:customStyle="1" w:styleId="170">
    <w:name w:val="样式 宋体 五号 行距: 单倍行距"/>
    <w:basedOn w:val="1"/>
    <w:qFormat/>
    <w:uiPriority w:val="0"/>
    <w:pPr>
      <w:adjustRightInd w:val="0"/>
      <w:jc w:val="left"/>
    </w:pPr>
    <w:rPr>
      <w:rFonts w:ascii="宋体" w:hAnsi="宋体"/>
      <w:kern w:val="0"/>
      <w:sz w:val="21"/>
    </w:rPr>
  </w:style>
  <w:style w:type="paragraph" w:customStyle="1" w:styleId="171">
    <w:name w:val="图片文字"/>
    <w:basedOn w:val="1"/>
    <w:qFormat/>
    <w:uiPriority w:val="0"/>
    <w:pPr>
      <w:spacing w:line="240" w:lineRule="atLeast"/>
      <w:jc w:val="center"/>
    </w:pPr>
    <w:rPr>
      <w:sz w:val="21"/>
    </w:rPr>
  </w:style>
  <w:style w:type="paragraph" w:customStyle="1" w:styleId="172">
    <w:name w:val="Char"/>
    <w:basedOn w:val="1"/>
    <w:qFormat/>
    <w:uiPriority w:val="0"/>
    <w:pPr>
      <w:spacing w:line="240" w:lineRule="atLeast"/>
      <w:ind w:left="420" w:firstLine="420"/>
    </w:pPr>
    <w:rPr>
      <w:kern w:val="0"/>
      <w:sz w:val="21"/>
    </w:rPr>
  </w:style>
  <w:style w:type="paragraph" w:customStyle="1" w:styleId="173">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4">
    <w:name w:val="Note"/>
    <w:basedOn w:val="1"/>
    <w:qFormat/>
    <w:uiPriority w:val="0"/>
    <w:pPr>
      <w:pBdr>
        <w:top w:val="single" w:color="auto" w:sz="12" w:space="3"/>
        <w:bottom w:val="single" w:color="auto" w:sz="12" w:space="3"/>
      </w:pBdr>
      <w:spacing w:line="360" w:lineRule="auto"/>
    </w:pPr>
    <w:rPr>
      <w:sz w:val="24"/>
    </w:rPr>
  </w:style>
  <w:style w:type="paragraph" w:customStyle="1" w:styleId="175">
    <w:name w:val=" Char"/>
    <w:basedOn w:val="1"/>
    <w:qFormat/>
    <w:uiPriority w:val="0"/>
    <w:pPr>
      <w:spacing w:line="240" w:lineRule="atLeast"/>
      <w:ind w:left="420" w:firstLine="420"/>
    </w:pPr>
    <w:rPr>
      <w:kern w:val="0"/>
      <w:sz w:val="21"/>
    </w:rPr>
  </w:style>
  <w:style w:type="paragraph" w:customStyle="1" w:styleId="176">
    <w:name w:val=" Char Char Char"/>
    <w:basedOn w:val="1"/>
    <w:qFormat/>
    <w:uiPriority w:val="0"/>
    <w:rPr>
      <w:rFonts w:ascii="Tahoma" w:hAnsi="Tahoma"/>
      <w:sz w:val="24"/>
    </w:rPr>
  </w:style>
  <w:style w:type="paragraph" w:customStyle="1" w:styleId="177">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8">
    <w:name w:val="标书正文:  0.74 厘米"/>
    <w:basedOn w:val="1"/>
    <w:qFormat/>
    <w:uiPriority w:val="0"/>
    <w:pPr>
      <w:snapToGrid w:val="0"/>
      <w:spacing w:line="360" w:lineRule="auto"/>
      <w:ind w:firstLine="420"/>
    </w:pPr>
    <w:rPr>
      <w:sz w:val="24"/>
    </w:rPr>
  </w:style>
  <w:style w:type="paragraph" w:customStyle="1" w:styleId="179">
    <w:name w:val=" Char Char 字元 字元 字元 Char Char Char Char"/>
    <w:basedOn w:val="1"/>
    <w:qFormat/>
    <w:uiPriority w:val="0"/>
    <w:pPr>
      <w:adjustRightInd w:val="0"/>
      <w:spacing w:line="360" w:lineRule="auto"/>
    </w:pPr>
    <w:rPr>
      <w:kern w:val="0"/>
      <w:sz w:val="24"/>
    </w:rPr>
  </w:style>
  <w:style w:type="paragraph" w:customStyle="1" w:styleId="180">
    <w:name w:val="样式 标题 6第五层条 + 三号 段前: 0.5 行"/>
    <w:basedOn w:val="8"/>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1">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2">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3">
    <w:name w:val=" Char Char14 Char Char"/>
    <w:basedOn w:val="1"/>
    <w:qFormat/>
    <w:uiPriority w:val="0"/>
    <w:rPr>
      <w:sz w:val="21"/>
      <w:szCs w:val="24"/>
    </w:rPr>
  </w:style>
  <w:style w:type="paragraph" w:customStyle="1" w:styleId="184">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5">
    <w:name w:val="可研正文"/>
    <w:basedOn w:val="23"/>
    <w:qFormat/>
    <w:uiPriority w:val="0"/>
    <w:pPr>
      <w:adjustRightInd w:val="0"/>
      <w:snapToGrid w:val="0"/>
      <w:spacing w:line="440" w:lineRule="exact"/>
      <w:ind w:firstLine="567"/>
    </w:pPr>
    <w:rPr>
      <w:sz w:val="28"/>
    </w:rPr>
  </w:style>
  <w:style w:type="paragraph" w:customStyle="1" w:styleId="186">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7">
    <w:name w:val="首行缩进"/>
    <w:basedOn w:val="1"/>
    <w:qFormat/>
    <w:uiPriority w:val="0"/>
    <w:pPr>
      <w:numPr>
        <w:ilvl w:val="0"/>
        <w:numId w:val="8"/>
      </w:numPr>
      <w:spacing w:line="360" w:lineRule="auto"/>
    </w:pPr>
    <w:rPr>
      <w:rFonts w:eastAsia="仿宋_GB2312"/>
    </w:rPr>
  </w:style>
  <w:style w:type="paragraph" w:customStyle="1" w:styleId="188">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9">
    <w:name w:val="正文 + 三号"/>
    <w:basedOn w:val="1"/>
    <w:qFormat/>
    <w:uiPriority w:val="0"/>
    <w:rPr>
      <w:sz w:val="21"/>
    </w:rPr>
  </w:style>
  <w:style w:type="paragraph" w:customStyle="1" w:styleId="190">
    <w:name w:val=" Char Char1 Char"/>
    <w:basedOn w:val="1"/>
    <w:qFormat/>
    <w:uiPriority w:val="0"/>
    <w:rPr>
      <w:rFonts w:ascii="Tahoma" w:hAnsi="Tahoma"/>
      <w:sz w:val="24"/>
      <w:szCs w:val="24"/>
    </w:rPr>
  </w:style>
  <w:style w:type="paragraph" w:customStyle="1" w:styleId="191">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3">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4">
    <w:name w:val="bt"/>
    <w:basedOn w:val="1"/>
    <w:next w:val="2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5">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9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7">
    <w:name w:val="摘要"/>
    <w:basedOn w:val="1"/>
    <w:next w:val="4"/>
    <w:qFormat/>
    <w:uiPriority w:val="0"/>
    <w:pPr>
      <w:spacing w:line="360" w:lineRule="auto"/>
    </w:pPr>
    <w:rPr>
      <w:rFonts w:eastAsia="黑体"/>
      <w:sz w:val="20"/>
    </w:rPr>
  </w:style>
  <w:style w:type="paragraph" w:customStyle="1" w:styleId="19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9">
    <w:name w:val="正文（首行不缩进）"/>
    <w:basedOn w:val="1"/>
    <w:qFormat/>
    <w:uiPriority w:val="0"/>
    <w:pPr>
      <w:autoSpaceDE w:val="0"/>
      <w:autoSpaceDN w:val="0"/>
      <w:adjustRightInd w:val="0"/>
      <w:spacing w:line="360" w:lineRule="auto"/>
      <w:jc w:val="left"/>
    </w:pPr>
    <w:rPr>
      <w:kern w:val="0"/>
      <w:sz w:val="21"/>
    </w:rPr>
  </w:style>
  <w:style w:type="paragraph" w:customStyle="1" w:styleId="20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1">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0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3">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4">
    <w:name w:val=" Char2 Char Char Char Char Char Char"/>
    <w:basedOn w:val="1"/>
    <w:qFormat/>
    <w:uiPriority w:val="0"/>
    <w:rPr>
      <w:rFonts w:ascii="仿宋_GB2312"/>
      <w:b/>
      <w:sz w:val="30"/>
    </w:rPr>
  </w:style>
  <w:style w:type="paragraph" w:customStyle="1" w:styleId="205">
    <w:name w:val="简单回函地址"/>
    <w:basedOn w:val="1"/>
    <w:qFormat/>
    <w:uiPriority w:val="0"/>
    <w:pPr>
      <w:adjustRightInd w:val="0"/>
      <w:snapToGrid w:val="0"/>
      <w:spacing w:line="360" w:lineRule="auto"/>
    </w:pPr>
    <w:rPr>
      <w:sz w:val="24"/>
    </w:rPr>
  </w:style>
  <w:style w:type="paragraph" w:customStyle="1" w:styleId="206">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07">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8">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0">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1">
    <w:name w:val="Style Heading 3h3Heading 3 - oldLevel 3 HeadH3level_3PIM 3se..."/>
    <w:basedOn w:val="5"/>
    <w:qFormat/>
    <w:uiPriority w:val="0"/>
    <w:pPr>
      <w:numPr>
        <w:ilvl w:val="2"/>
        <w:numId w:val="2"/>
      </w:numPr>
      <w:tabs>
        <w:tab w:val="left" w:pos="709"/>
        <w:tab w:val="left" w:pos="1620"/>
        <w:tab w:val="clear" w:pos="2444"/>
      </w:tabs>
      <w:spacing w:line="413" w:lineRule="auto"/>
    </w:pPr>
  </w:style>
  <w:style w:type="paragraph" w:customStyle="1" w:styleId="212">
    <w:name w:val="文本1"/>
    <w:basedOn w:val="1"/>
    <w:qFormat/>
    <w:uiPriority w:val="0"/>
    <w:pPr>
      <w:adjustRightInd w:val="0"/>
      <w:spacing w:line="312" w:lineRule="atLeast"/>
      <w:jc w:val="center"/>
      <w:textAlignment w:val="baseline"/>
    </w:pPr>
    <w:rPr>
      <w:kern w:val="0"/>
      <w:sz w:val="18"/>
    </w:rPr>
  </w:style>
  <w:style w:type="paragraph" w:customStyle="1" w:styleId="213">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4">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6">
    <w:name w:val="标题3——2"/>
    <w:basedOn w:val="5"/>
    <w:next w:val="57"/>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7">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8">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19">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1">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22">
    <w:name w:val="af"/>
    <w:basedOn w:val="1"/>
    <w:qFormat/>
    <w:uiPriority w:val="0"/>
    <w:pPr>
      <w:widowControl/>
      <w:spacing w:line="300" w:lineRule="atLeast"/>
      <w:jc w:val="left"/>
    </w:pPr>
    <w:rPr>
      <w:rFonts w:ascii="宋体" w:hAnsi="宋体"/>
      <w:kern w:val="0"/>
      <w:sz w:val="18"/>
    </w:rPr>
  </w:style>
  <w:style w:type="paragraph" w:customStyle="1" w:styleId="223">
    <w:name w:val="文章正文"/>
    <w:basedOn w:val="1"/>
    <w:qFormat/>
    <w:uiPriority w:val="0"/>
    <w:pPr>
      <w:ind w:firstLine="560" w:firstLineChars="200"/>
    </w:pPr>
    <w:rPr>
      <w:rFonts w:ascii="仿宋_GB2312" w:hAnsi="宋体" w:eastAsia="仿宋_GB2312"/>
      <w:color w:val="000000"/>
    </w:rPr>
  </w:style>
  <w:style w:type="paragraph" w:customStyle="1" w:styleId="224">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6">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27">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9">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30">
    <w:name w:val="默认段落字体 Para Char Char Char Char Char Char Char"/>
    <w:basedOn w:val="1"/>
    <w:qFormat/>
    <w:uiPriority w:val="0"/>
    <w:rPr>
      <w:rFonts w:ascii="Tahoma" w:hAnsi="Tahoma"/>
      <w:sz w:val="24"/>
    </w:rPr>
  </w:style>
  <w:style w:type="paragraph" w:customStyle="1" w:styleId="231">
    <w:name w:val="编号正文"/>
    <w:basedOn w:val="200"/>
    <w:qFormat/>
    <w:uiPriority w:val="0"/>
    <w:pPr>
      <w:snapToGrid/>
      <w:spacing w:line="360" w:lineRule="auto"/>
      <w:ind w:left="1407" w:hanging="1047"/>
      <w:jc w:val="left"/>
    </w:pPr>
    <w:rPr>
      <w:rFonts w:eastAsia="仿宋_GB2312"/>
    </w:rPr>
  </w:style>
  <w:style w:type="paragraph" w:customStyle="1" w:styleId="232">
    <w:name w:val="表格内文字"/>
    <w:basedOn w:val="31"/>
    <w:qFormat/>
    <w:uiPriority w:val="0"/>
    <w:pPr>
      <w:adjustRightInd w:val="0"/>
    </w:pPr>
    <w:rPr>
      <w:color w:val="000000"/>
      <w:lang w:val="en-GB"/>
    </w:rPr>
  </w:style>
  <w:style w:type="paragraph" w:customStyle="1" w:styleId="233">
    <w:name w:val="样式 行距: 1.5 倍行距1"/>
    <w:basedOn w:val="1"/>
    <w:qFormat/>
    <w:uiPriority w:val="0"/>
    <w:pPr>
      <w:snapToGrid w:val="0"/>
    </w:pPr>
    <w:rPr>
      <w:sz w:val="21"/>
    </w:rPr>
  </w:style>
  <w:style w:type="paragraph" w:customStyle="1" w:styleId="234">
    <w:name w:val=" Char Char Char Char Char Char Char"/>
    <w:basedOn w:val="1"/>
    <w:qFormat/>
    <w:uiPriority w:val="0"/>
    <w:rPr>
      <w:rFonts w:ascii="Tahoma" w:hAnsi="Tahoma"/>
      <w:sz w:val="24"/>
    </w:rPr>
  </w:style>
  <w:style w:type="paragraph" w:customStyle="1" w:styleId="235">
    <w:name w:val="表格文本"/>
    <w:qFormat/>
    <w:uiPriority w:val="0"/>
    <w:pPr>
      <w:tabs>
        <w:tab w:val="decimal" w:pos="0"/>
      </w:tabs>
    </w:pPr>
    <w:rPr>
      <w:rFonts w:ascii="Arial" w:hAnsi="Arial" w:eastAsia="宋体" w:cs="Times New Roman"/>
      <w:sz w:val="21"/>
      <w:lang w:val="en-US" w:eastAsia="zh-CN" w:bidi="ar-SA"/>
    </w:rPr>
  </w:style>
  <w:style w:type="paragraph" w:customStyle="1" w:styleId="236">
    <w:name w:val="正文表格"/>
    <w:basedOn w:val="1"/>
    <w:qFormat/>
    <w:uiPriority w:val="0"/>
    <w:pPr>
      <w:adjustRightInd w:val="0"/>
      <w:spacing w:before="40" w:beforeLines="0" w:beforeAutospacing="0" w:after="40" w:afterLines="0" w:afterAutospacing="0"/>
    </w:pPr>
    <w:rPr>
      <w:sz w:val="24"/>
    </w:rPr>
  </w:style>
  <w:style w:type="paragraph" w:customStyle="1" w:styleId="237">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8">
    <w:name w:val=" Char Char Char Char Char Char Char Char Char Char Char Char Char Char Char Char"/>
    <w:basedOn w:val="1"/>
    <w:qFormat/>
    <w:uiPriority w:val="0"/>
    <w:pPr>
      <w:tabs>
        <w:tab w:val="left" w:pos="360"/>
      </w:tabs>
    </w:pPr>
    <w:rPr>
      <w:sz w:val="24"/>
    </w:rPr>
  </w:style>
  <w:style w:type="paragraph" w:customStyle="1" w:styleId="239">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0">
    <w:name w:val="标准正文"/>
    <w:basedOn w:val="24"/>
    <w:qFormat/>
    <w:uiPriority w:val="0"/>
    <w:pPr>
      <w:spacing w:before="60" w:beforeLines="0" w:after="60" w:afterLines="0" w:line="360" w:lineRule="auto"/>
      <w:ind w:left="0" w:firstLine="482"/>
    </w:pPr>
    <w:rPr>
      <w:rFonts w:ascii="Arial" w:hAnsi="Arial"/>
      <w:sz w:val="24"/>
    </w:rPr>
  </w:style>
  <w:style w:type="character" w:customStyle="1" w:styleId="241">
    <w:name w:val="无"/>
    <w:qFormat/>
    <w:uiPriority w:val="0"/>
  </w:style>
  <w:style w:type="character" w:customStyle="1" w:styleId="242">
    <w:name w:val="font21"/>
    <w:basedOn w:val="61"/>
    <w:qFormat/>
    <w:uiPriority w:val="0"/>
    <w:rPr>
      <w:rFonts w:hint="default" w:ascii="仿宋_GB2312" w:eastAsia="仿宋_GB2312" w:cs="仿宋_GB2312"/>
      <w:color w:val="000000"/>
      <w:sz w:val="22"/>
      <w:szCs w:val="22"/>
      <w:u w:val="none"/>
    </w:rPr>
  </w:style>
  <w:style w:type="character" w:customStyle="1" w:styleId="243">
    <w:name w:val="font31"/>
    <w:basedOn w:val="61"/>
    <w:qFormat/>
    <w:uiPriority w:val="0"/>
    <w:rPr>
      <w:rFonts w:hint="default" w:ascii="仿宋_GB2312" w:eastAsia="仿宋_GB2312" w:cs="仿宋_GB2312"/>
      <w:b/>
      <w:bCs/>
      <w:color w:val="000000"/>
      <w:sz w:val="22"/>
      <w:szCs w:val="22"/>
      <w:u w:val="none"/>
    </w:rPr>
  </w:style>
  <w:style w:type="character" w:customStyle="1" w:styleId="244">
    <w:name w:val="font51"/>
    <w:basedOn w:val="61"/>
    <w:qFormat/>
    <w:uiPriority w:val="0"/>
    <w:rPr>
      <w:rFonts w:hint="default" w:ascii="仿宋_GB2312" w:eastAsia="仿宋_GB2312" w:cs="仿宋_GB2312"/>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WJ2024011%20%20&#20044;&#27743;&#26472;&#23478;&#22561;&#12289;&#20498;&#26464;&#30875;&#28393;&#33322;&#36947;&#32500;&#25252;&#24615;&#30095;&#27994;\&#37325;&#24198;&#24066;&#20044;&#27743;&#33322;&#36947;&#31649;&#29702;&#22788;&#20851;&#20110;&#20044;&#27743;&#26472;&#23478;&#22561;&#12289;&#20498;&#26464;&#30875;&#28393;&#33322;&#36947;&#32500;&#25252;&#24615;&#30095;&#27994;&#38480;&#39069;&#20197;&#19979;&#27604;&#20215;&#37319;&#36141;&#25991;&#20214;(1)(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重庆市乌江航道管理处关于乌江杨家堡、倒杠碛滩航道维护性疏浚限额以下比价采购文件(1)(4).docx</Template>
  <Pages>29</Pages>
  <Words>11019</Words>
  <Characters>11636</Characters>
  <Lines>93</Lines>
  <Paragraphs>26</Paragraphs>
  <TotalTime>2</TotalTime>
  <ScaleCrop>false</ScaleCrop>
  <LinksUpToDate>false</LinksUpToDate>
  <CharactersWithSpaces>12649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2024-09-20T06:40:00Z</dcterms:created>
  <dc:creator>剪夏罗</dc:creator>
  <cp:lastModifiedBy>jtj</cp:lastModifiedBy>
  <dcterms:modified xsi:type="dcterms:W3CDTF">2024-09-20T07:56:49Z</dcterms:modified>
  <dc:title>竞争性谈判文件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DA21E53FC44E4B67BA524734A6B89E4F_11</vt:lpwstr>
  </property>
</Properties>
</file>