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0" w:lineRule="exact"/>
        <w:jc w:val="center"/>
        <w:outlineLvl w:val="0"/>
        <w:rPr>
          <w:rFonts w:ascii="方正黑体_GBK" w:eastAsia="方正黑体_GBK"/>
          <w:sz w:val="84"/>
          <w:szCs w:val="84"/>
        </w:rPr>
      </w:pPr>
      <w:r>
        <w:rPr>
          <w:rFonts w:hint="eastAsia" w:ascii="方正黑体_GBK" w:eastAsia="方正黑体_GBK"/>
          <w:sz w:val="84"/>
          <w:szCs w:val="84"/>
        </w:rPr>
        <w:t>重庆市合川航道管理处</w:t>
      </w:r>
    </w:p>
    <w:p>
      <w:pPr>
        <w:spacing w:line="1600" w:lineRule="exact"/>
        <w:jc w:val="center"/>
        <w:outlineLvl w:val="0"/>
        <w:rPr>
          <w:rFonts w:ascii="方正黑体_GBK" w:eastAsia="方正黑体_GBK"/>
          <w:sz w:val="84"/>
          <w:szCs w:val="84"/>
        </w:rPr>
      </w:pPr>
      <w:r>
        <w:rPr>
          <w:rFonts w:hint="eastAsia" w:ascii="方正黑体_GBK" w:eastAsia="方正黑体_GBK"/>
          <w:sz w:val="84"/>
          <w:szCs w:val="84"/>
        </w:rPr>
        <w:t>政府采购</w:t>
      </w:r>
    </w:p>
    <w:p>
      <w:pPr>
        <w:jc w:val="center"/>
        <w:rPr>
          <w:rFonts w:ascii="宋体" w:hAnsi="宋体"/>
          <w:sz w:val="84"/>
          <w:szCs w:val="84"/>
        </w:rPr>
      </w:pPr>
    </w:p>
    <w:p>
      <w:pPr>
        <w:spacing w:line="1600" w:lineRule="exact"/>
        <w:jc w:val="center"/>
        <w:outlineLvl w:val="0"/>
        <w:rPr>
          <w:rFonts w:ascii="方正黑体_GBK" w:hAnsi="宋体" w:eastAsia="方正黑体_GBK"/>
          <w:sz w:val="84"/>
          <w:szCs w:val="84"/>
        </w:rPr>
      </w:pPr>
      <w:r>
        <w:rPr>
          <w:rFonts w:hint="eastAsia" w:ascii="方正黑体_GBK" w:hAnsi="宋体" w:eastAsia="方正黑体_GBK"/>
          <w:sz w:val="84"/>
          <w:szCs w:val="84"/>
        </w:rPr>
        <w:t>限额以下比价采购文件</w:t>
      </w: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jc w:val="center"/>
        <w:rPr>
          <w:rFonts w:ascii="黑体" w:eastAsia="黑体"/>
          <w:sz w:val="32"/>
        </w:rPr>
      </w:pPr>
    </w:p>
    <w:p>
      <w:pPr>
        <w:spacing w:line="500" w:lineRule="exact"/>
        <w:ind w:firstLine="720" w:firstLineChars="200"/>
        <w:jc w:val="left"/>
        <w:outlineLvl w:val="0"/>
        <w:rPr>
          <w:rFonts w:hint="eastAsia" w:ascii="方正小标宋_GBK" w:hAnsi="宋体" w:eastAsia="方正小标宋_GBK"/>
          <w:sz w:val="36"/>
          <w:szCs w:val="36"/>
          <w:lang w:eastAsia="zh-CN"/>
        </w:rPr>
      </w:pPr>
      <w:r>
        <w:rPr>
          <w:rFonts w:hint="eastAsia" w:ascii="方正小标宋_GBK" w:hAnsi="宋体" w:eastAsia="方正小标宋_GBK"/>
          <w:sz w:val="36"/>
          <w:szCs w:val="36"/>
        </w:rPr>
        <w:t>项目名称：</w:t>
      </w:r>
      <w:r>
        <w:rPr>
          <w:rFonts w:hint="eastAsia" w:ascii="方正小标宋_GBK" w:hAnsi="宋体" w:eastAsia="方正小标宋_GBK"/>
          <w:sz w:val="36"/>
          <w:szCs w:val="36"/>
          <w:lang w:eastAsia="zh-CN"/>
        </w:rPr>
        <w:t>仓库外墙排危（第二次）</w:t>
      </w:r>
    </w:p>
    <w:p>
      <w:pPr>
        <w:spacing w:line="500" w:lineRule="exact"/>
        <w:ind w:firstLine="720" w:firstLineChars="200"/>
        <w:jc w:val="left"/>
        <w:outlineLvl w:val="0"/>
        <w:rPr>
          <w:rFonts w:ascii="方正小标宋_GBK" w:eastAsia="方正小标宋_GBK"/>
          <w:sz w:val="36"/>
          <w:szCs w:val="36"/>
        </w:rPr>
      </w:pPr>
      <w:r>
        <w:rPr>
          <w:rFonts w:hint="eastAsia" w:ascii="方正小标宋_GBK" w:eastAsia="方正小标宋_GBK"/>
          <w:sz w:val="36"/>
          <w:szCs w:val="36"/>
        </w:rPr>
        <w:t>采购人：重庆市合川航道管理处</w:t>
      </w: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720" w:lineRule="exact"/>
        <w:jc w:val="center"/>
        <w:outlineLvl w:val="0"/>
        <w:rPr>
          <w:rFonts w:ascii="方正黑体_GBK" w:hAnsi="宋体" w:eastAsia="方正黑体_GBK"/>
          <w:sz w:val="48"/>
          <w:szCs w:val="32"/>
        </w:rPr>
      </w:pPr>
      <w:r>
        <w:rPr>
          <w:rFonts w:hint="eastAsia" w:ascii="方正小标宋_GBK" w:hAnsi="宋体" w:eastAsia="方正小标宋_GBK"/>
          <w:sz w:val="36"/>
          <w:szCs w:val="36"/>
        </w:rPr>
        <w:t>二〇二三年十</w:t>
      </w:r>
      <w:r>
        <w:rPr>
          <w:rFonts w:hint="eastAsia" w:ascii="方正小标宋_GBK" w:hAnsi="宋体" w:eastAsia="方正小标宋_GBK"/>
          <w:sz w:val="36"/>
          <w:szCs w:val="36"/>
          <w:lang w:eastAsia="zh-CN"/>
        </w:rPr>
        <w:t>一</w:t>
      </w:r>
      <w:r>
        <w:rPr>
          <w:rFonts w:hint="eastAsia" w:ascii="方正小标宋_GBK" w:hAnsi="宋体" w:eastAsia="方正小标宋_GBK"/>
          <w:sz w:val="36"/>
          <w:szCs w:val="36"/>
        </w:rPr>
        <w:t>月</w:t>
      </w:r>
    </w:p>
    <w:p>
      <w:pPr>
        <w:spacing w:line="480" w:lineRule="exact"/>
        <w:outlineLvl w:val="0"/>
        <w:rPr>
          <w:rFonts w:ascii="方正黑体_GBK" w:eastAsia="方正黑体_GBK"/>
          <w:sz w:val="44"/>
          <w:szCs w:val="28"/>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pgNumType w:fmt="numberInDash" w:start="1"/>
          <w:cols w:space="720" w:num="1"/>
          <w:titlePg/>
          <w:docGrid w:linePitch="381" w:charSpace="-5735"/>
        </w:sectPr>
      </w:pPr>
    </w:p>
    <w:p>
      <w:pPr>
        <w:pStyle w:val="3"/>
        <w:spacing w:line="360" w:lineRule="auto"/>
        <w:ind w:left="560"/>
        <w:jc w:val="center"/>
        <w:rPr>
          <w:rFonts w:ascii="方正小标宋_GBK" w:eastAsia="方正小标宋_GBK"/>
          <w:b w:val="0"/>
          <w:sz w:val="36"/>
          <w:szCs w:val="30"/>
        </w:rPr>
      </w:pPr>
      <w:bookmarkStart w:id="0" w:name="_Toc12789052"/>
      <w:bookmarkStart w:id="1" w:name="_Toc15726"/>
      <w:bookmarkStart w:id="2" w:name="_Toc106034769"/>
      <w:bookmarkStart w:id="3" w:name="_Toc65660329"/>
      <w:bookmarkStart w:id="4" w:name="_Toc11641050"/>
      <w:bookmarkStart w:id="5" w:name="_Toc24173"/>
      <w:bookmarkStart w:id="6" w:name="_Toc24817"/>
      <w:r>
        <w:rPr>
          <w:rFonts w:hint="eastAsia" w:ascii="方正小标宋_GBK" w:eastAsia="方正小标宋_GBK"/>
          <w:b w:val="0"/>
          <w:sz w:val="36"/>
          <w:szCs w:val="30"/>
        </w:rPr>
        <w:t xml:space="preserve">第一篇  </w:t>
      </w:r>
      <w:r>
        <w:rPr>
          <w:rFonts w:hint="eastAsia" w:ascii="方正小标宋_GBK" w:eastAsia="方正小标宋_GBK" w:cs="Arial"/>
          <w:b w:val="0"/>
          <w:sz w:val="36"/>
        </w:rPr>
        <w:t>限额以下比价采购邀请书</w:t>
      </w:r>
      <w:bookmarkEnd w:id="0"/>
      <w:bookmarkEnd w:id="1"/>
      <w:bookmarkEnd w:id="2"/>
      <w:bookmarkEnd w:id="3"/>
      <w:bookmarkEnd w:id="4"/>
      <w:bookmarkEnd w:id="5"/>
      <w:bookmarkEnd w:id="6"/>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重庆市合川航道管理处对</w:t>
      </w:r>
      <w:r>
        <w:rPr>
          <w:rFonts w:hint="eastAsia" w:ascii="方正仿宋_GBK" w:hAnsi="宋体" w:eastAsia="方正仿宋_GBK"/>
          <w:sz w:val="24"/>
          <w:szCs w:val="24"/>
          <w:lang w:eastAsia="zh-CN"/>
        </w:rPr>
        <w:t>仓库外墙排危</w:t>
      </w:r>
      <w:r>
        <w:rPr>
          <w:rFonts w:hint="eastAsia" w:ascii="方正仿宋_GBK" w:hAnsi="宋体" w:eastAsia="方正仿宋_GBK"/>
          <w:sz w:val="24"/>
          <w:szCs w:val="24"/>
        </w:rPr>
        <w:t>项目进行限额以下比价采购。欢迎有资格的供应商前来参加报价。</w:t>
      </w:r>
    </w:p>
    <w:p>
      <w:pPr>
        <w:pStyle w:val="3"/>
        <w:adjustRightInd w:val="0"/>
        <w:snapToGrid w:val="0"/>
        <w:spacing w:line="400" w:lineRule="exact"/>
        <w:ind w:left="560" w:firstLine="482" w:firstLineChars="200"/>
        <w:rPr>
          <w:rFonts w:ascii="方正仿宋_GBK" w:eastAsia="方正仿宋_GBK"/>
          <w:sz w:val="24"/>
        </w:rPr>
      </w:pPr>
      <w:bookmarkStart w:id="7" w:name="_Toc313893526"/>
      <w:bookmarkStart w:id="8" w:name="_Toc7758"/>
      <w:bookmarkStart w:id="9" w:name="_Toc317775175"/>
      <w:bookmarkStart w:id="10" w:name="_Toc26091"/>
      <w:bookmarkStart w:id="11" w:name="_Toc106034770"/>
      <w:bookmarkStart w:id="12" w:name="_Toc65660330"/>
      <w:bookmarkStart w:id="13" w:name="_Toc18246"/>
      <w:r>
        <w:rPr>
          <w:rFonts w:hint="eastAsia" w:ascii="方正仿宋_GBK" w:eastAsia="方正仿宋_GBK"/>
          <w:sz w:val="24"/>
        </w:rPr>
        <w:t>一、比价内容</w:t>
      </w:r>
      <w:bookmarkEnd w:id="7"/>
      <w:bookmarkEnd w:id="8"/>
      <w:bookmarkEnd w:id="9"/>
      <w:bookmarkEnd w:id="10"/>
      <w:bookmarkEnd w:id="11"/>
      <w:bookmarkEnd w:id="12"/>
      <w:bookmarkEnd w:id="13"/>
    </w:p>
    <w:tbl>
      <w:tblPr>
        <w:tblStyle w:val="12"/>
        <w:tblW w:w="41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1135"/>
        <w:gridCol w:w="1982"/>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446" w:type="pct"/>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包号及名称</w:t>
            </w:r>
          </w:p>
        </w:tc>
        <w:tc>
          <w:tcPr>
            <w:tcW w:w="734" w:type="pct"/>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最高限价（万元）</w:t>
            </w:r>
          </w:p>
        </w:tc>
        <w:tc>
          <w:tcPr>
            <w:tcW w:w="1282" w:type="pct"/>
            <w:tcBorders>
              <w:top w:val="single" w:color="auto" w:sz="4" w:space="0"/>
              <w:left w:val="single" w:color="auto" w:sz="4" w:space="0"/>
              <w:right w:val="single" w:color="auto" w:sz="4" w:space="0"/>
            </w:tcBorders>
            <w:vAlign w:val="center"/>
          </w:tcPr>
          <w:p>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c>
          <w:tcPr>
            <w:tcW w:w="1538" w:type="pct"/>
            <w:tcBorders>
              <w:top w:val="single" w:color="auto" w:sz="4" w:space="0"/>
              <w:left w:val="single" w:color="auto" w:sz="4" w:space="0"/>
              <w:right w:val="single" w:color="auto" w:sz="4" w:space="0"/>
            </w:tcBorders>
            <w:vAlign w:val="center"/>
          </w:tcPr>
          <w:p>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4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eastAsia="方正仿宋_GBK" w:cs="宋体"/>
                <w:kern w:val="0"/>
                <w:sz w:val="21"/>
                <w:szCs w:val="24"/>
              </w:rPr>
            </w:pPr>
            <w:bookmarkStart w:id="14" w:name="_Hlk344477914"/>
            <w:r>
              <w:rPr>
                <w:rFonts w:hint="eastAsia" w:ascii="方正仿宋_GBK" w:hAnsi="宋体" w:eastAsia="方正仿宋_GBK"/>
                <w:sz w:val="24"/>
                <w:szCs w:val="24"/>
              </w:rPr>
              <w:t>合川航道处办公场所文化氛围布置</w:t>
            </w:r>
          </w:p>
        </w:tc>
        <w:tc>
          <w:tcPr>
            <w:tcW w:w="734" w:type="pct"/>
            <w:tcBorders>
              <w:top w:val="single" w:color="auto" w:sz="4" w:space="0"/>
              <w:left w:val="single" w:color="auto" w:sz="4" w:space="0"/>
              <w:bottom w:val="single" w:color="auto" w:sz="4" w:space="0"/>
              <w:right w:val="single" w:color="auto" w:sz="4" w:space="0"/>
            </w:tcBorders>
            <w:vAlign w:val="center"/>
          </w:tcPr>
          <w:p>
            <w:pPr>
              <w:jc w:val="center"/>
              <w:rPr>
                <w:rFonts w:hint="default" w:ascii="方正仿宋_GBK" w:hAnsi="宋体" w:eastAsia="方正仿宋_GBK"/>
                <w:sz w:val="21"/>
                <w:szCs w:val="21"/>
                <w:lang w:val="en-US" w:eastAsia="zh-CN"/>
              </w:rPr>
            </w:pPr>
            <w:r>
              <w:rPr>
                <w:rFonts w:hint="eastAsia" w:ascii="方正仿宋_GBK" w:hAnsi="宋体" w:eastAsia="方正仿宋_GBK"/>
                <w:sz w:val="21"/>
                <w:szCs w:val="21"/>
                <w:lang w:val="en-US" w:eastAsia="zh-CN"/>
              </w:rPr>
              <w:t>2.22</w:t>
            </w:r>
          </w:p>
        </w:tc>
        <w:tc>
          <w:tcPr>
            <w:tcW w:w="1282" w:type="pct"/>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1</w:t>
            </w:r>
          </w:p>
        </w:tc>
        <w:tc>
          <w:tcPr>
            <w:tcW w:w="1538" w:type="pct"/>
            <w:tcBorders>
              <w:top w:val="single" w:color="auto" w:sz="4" w:space="0"/>
              <w:left w:val="single" w:color="auto" w:sz="4" w:space="0"/>
              <w:bottom w:val="single" w:color="auto" w:sz="4" w:space="0"/>
              <w:right w:val="single" w:color="auto" w:sz="4" w:space="0"/>
            </w:tcBorders>
            <w:vAlign w:val="center"/>
          </w:tcPr>
          <w:p>
            <w:pPr>
              <w:jc w:val="left"/>
              <w:rPr>
                <w:rFonts w:ascii="方正仿宋_GBK" w:hAnsi="宋体" w:eastAsia="方正仿宋_GBK"/>
                <w:b/>
                <w:sz w:val="21"/>
                <w:szCs w:val="21"/>
              </w:rPr>
            </w:pPr>
          </w:p>
        </w:tc>
      </w:tr>
      <w:bookmarkEnd w:id="14"/>
    </w:tbl>
    <w:p>
      <w:pPr>
        <w:pStyle w:val="3"/>
        <w:adjustRightInd w:val="0"/>
        <w:snapToGrid w:val="0"/>
        <w:spacing w:line="400" w:lineRule="exact"/>
        <w:ind w:left="560" w:firstLine="482" w:firstLineChars="200"/>
        <w:rPr>
          <w:rFonts w:ascii="方正仿宋_GBK" w:eastAsia="方正仿宋_GBK"/>
          <w:sz w:val="24"/>
        </w:rPr>
      </w:pPr>
      <w:bookmarkStart w:id="15" w:name="_Toc27028"/>
      <w:bookmarkStart w:id="16" w:name="_Toc3256"/>
      <w:bookmarkStart w:id="17" w:name="_Toc65660331"/>
      <w:bookmarkStart w:id="18" w:name="_Toc4424"/>
      <w:bookmarkStart w:id="19" w:name="_Toc106034771"/>
      <w:bookmarkStart w:id="20" w:name="_Toc373860293"/>
      <w:bookmarkStart w:id="21" w:name="_Toc317775178"/>
      <w:r>
        <w:rPr>
          <w:rFonts w:hint="eastAsia" w:ascii="方正仿宋_GBK" w:eastAsia="方正仿宋_GBK"/>
          <w:sz w:val="24"/>
        </w:rPr>
        <w:t>二、资金来源</w:t>
      </w:r>
      <w:bookmarkEnd w:id="15"/>
      <w:bookmarkEnd w:id="16"/>
      <w:bookmarkEnd w:id="17"/>
      <w:bookmarkEnd w:id="18"/>
      <w:bookmarkEnd w:id="19"/>
    </w:p>
    <w:p>
      <w:pPr>
        <w:spacing w:line="400" w:lineRule="exact"/>
        <w:ind w:firstLine="480" w:firstLineChars="200"/>
        <w:rPr>
          <w:rFonts w:ascii="方正仿宋_GBK" w:hAnsi="宋体" w:eastAsia="方正仿宋_GBK"/>
          <w:sz w:val="24"/>
          <w:szCs w:val="24"/>
        </w:rPr>
      </w:pPr>
      <w:r>
        <w:rPr>
          <w:rFonts w:hint="eastAsia" w:ascii="方正仿宋_GBK" w:hAnsi="仿宋" w:eastAsia="方正仿宋_GBK"/>
          <w:sz w:val="24"/>
          <w:szCs w:val="24"/>
        </w:rPr>
        <w:t>财政预算资金（或单位自筹资金），采购预算</w:t>
      </w:r>
      <w:r>
        <w:rPr>
          <w:rFonts w:hint="eastAsia" w:ascii="方正仿宋_GBK" w:hAnsi="仿宋" w:eastAsia="方正仿宋_GBK"/>
          <w:sz w:val="24"/>
          <w:szCs w:val="24"/>
          <w:lang w:val="en-US" w:eastAsia="zh-CN"/>
        </w:rPr>
        <w:t>2.22</w:t>
      </w:r>
      <w:r>
        <w:rPr>
          <w:rFonts w:hint="eastAsia" w:ascii="方正仿宋_GBK" w:hAnsi="仿宋" w:eastAsia="方正仿宋_GBK"/>
          <w:sz w:val="24"/>
          <w:szCs w:val="24"/>
        </w:rPr>
        <w:t>万元。</w:t>
      </w:r>
    </w:p>
    <w:p>
      <w:pPr>
        <w:pStyle w:val="3"/>
        <w:adjustRightInd w:val="0"/>
        <w:snapToGrid w:val="0"/>
        <w:spacing w:line="400" w:lineRule="exact"/>
        <w:ind w:left="560" w:firstLine="482" w:firstLineChars="200"/>
        <w:rPr>
          <w:rFonts w:ascii="方正仿宋_GBK" w:eastAsia="方正仿宋_GBK"/>
          <w:sz w:val="24"/>
        </w:rPr>
      </w:pPr>
      <w:bookmarkStart w:id="22" w:name="_Toc64731996"/>
      <w:bookmarkStart w:id="23" w:name="_Toc13541"/>
      <w:bookmarkStart w:id="24" w:name="_Toc20867"/>
      <w:bookmarkStart w:id="25" w:name="_Toc65660332"/>
      <w:bookmarkStart w:id="26" w:name="_Toc18548"/>
      <w:bookmarkStart w:id="27" w:name="_Toc106034772"/>
      <w:r>
        <w:rPr>
          <w:rFonts w:hint="eastAsia" w:ascii="方正仿宋_GBK" w:eastAsia="方正仿宋_GBK"/>
          <w:sz w:val="24"/>
        </w:rPr>
        <w:t>三、供应商资格条件</w:t>
      </w:r>
      <w:bookmarkEnd w:id="22"/>
      <w:bookmarkEnd w:id="23"/>
      <w:bookmarkEnd w:id="24"/>
      <w:bookmarkEnd w:id="25"/>
      <w:bookmarkEnd w:id="26"/>
      <w:bookmarkEnd w:id="27"/>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（一）满足《中华人民共和国政府采购法》第二十二条规定；</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（二）本项目的特定资格要求：无</w:t>
      </w:r>
    </w:p>
    <w:p>
      <w:pPr>
        <w:pStyle w:val="3"/>
        <w:adjustRightInd w:val="0"/>
        <w:snapToGrid w:val="0"/>
        <w:spacing w:line="400" w:lineRule="exact"/>
        <w:ind w:left="560" w:firstLine="482" w:firstLineChars="200"/>
        <w:rPr>
          <w:rFonts w:ascii="方正仿宋_GBK" w:eastAsia="方正仿宋_GBK"/>
          <w:sz w:val="24"/>
        </w:rPr>
      </w:pPr>
      <w:bookmarkStart w:id="28" w:name="_Toc65660333"/>
      <w:bookmarkStart w:id="29" w:name="_Toc1386"/>
      <w:bookmarkStart w:id="30" w:name="_Toc11908"/>
      <w:bookmarkStart w:id="31" w:name="_Toc106034773"/>
      <w:bookmarkStart w:id="32" w:name="_Toc13903"/>
      <w:r>
        <w:rPr>
          <w:rFonts w:hint="eastAsia" w:ascii="方正仿宋_GBK" w:eastAsia="方正仿宋_GBK"/>
          <w:sz w:val="24"/>
        </w:rPr>
        <w:t>四、限额以下比价有关说明</w:t>
      </w:r>
      <w:bookmarkEnd w:id="20"/>
      <w:bookmarkEnd w:id="28"/>
      <w:bookmarkEnd w:id="29"/>
      <w:bookmarkEnd w:id="30"/>
      <w:bookmarkEnd w:id="31"/>
      <w:bookmarkEnd w:id="32"/>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（一）凡有意参加比价的供应商，请在重庆市交通局官网上下载本项目采购文件以及图纸、澄清等报价前公布的所有项目资料，无论供应商下载与否，均视为已知晓所有实质性要求内容。</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（二）采购公告期限：自采购公告发布之日起三个工作日。</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（三）递交响应文件地点：重庆市合川航道管理处会议室（地址：重庆市合川区药市街79号）</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（四）提交响应文件截止时间：2023年1</w:t>
      </w: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月</w:t>
      </w:r>
      <w:r>
        <w:rPr>
          <w:rFonts w:hint="eastAsia" w:ascii="方正仿宋_GBK" w:hAnsi="宋体" w:eastAsia="方正仿宋_GBK"/>
          <w:color w:val="auto"/>
          <w:sz w:val="24"/>
          <w:szCs w:val="24"/>
          <w:lang w:val="en-US" w:eastAsia="zh-CN"/>
        </w:rPr>
        <w:t>24</w:t>
      </w:r>
      <w:r>
        <w:rPr>
          <w:rFonts w:hint="eastAsia" w:ascii="方正仿宋_GBK" w:hAnsi="宋体" w:eastAsia="方正仿宋_GBK"/>
          <w:sz w:val="24"/>
          <w:szCs w:val="24"/>
        </w:rPr>
        <w:t>日北京时间9时至10时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（五）评审开始时间：2023年</w:t>
      </w:r>
      <w:r>
        <w:rPr>
          <w:rFonts w:hint="eastAsia" w:ascii="方正仿宋_GBK" w:hAnsi="宋体" w:eastAsia="方正仿宋_GBK"/>
          <w:sz w:val="24"/>
          <w:szCs w:val="24"/>
          <w:lang w:val="en-US" w:eastAsia="zh-CN"/>
        </w:rPr>
        <w:t>11</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24</w:t>
      </w:r>
      <w:r>
        <w:rPr>
          <w:rFonts w:hint="eastAsia" w:ascii="方正仿宋_GBK" w:hAnsi="宋体" w:eastAsia="方正仿宋_GBK"/>
          <w:sz w:val="24"/>
          <w:szCs w:val="24"/>
        </w:rPr>
        <w:t>日北京时间10时</w:t>
      </w:r>
      <w:bookmarkStart w:id="233" w:name="_GoBack"/>
      <w:bookmarkEnd w:id="233"/>
    </w:p>
    <w:bookmarkEnd w:id="21"/>
    <w:p>
      <w:pPr>
        <w:pStyle w:val="3"/>
        <w:adjustRightInd w:val="0"/>
        <w:snapToGrid w:val="0"/>
        <w:spacing w:line="400" w:lineRule="exact"/>
        <w:ind w:left="560" w:firstLine="482" w:firstLineChars="200"/>
        <w:rPr>
          <w:rFonts w:ascii="方正仿宋_GBK" w:eastAsia="方正仿宋_GBK"/>
          <w:sz w:val="24"/>
        </w:rPr>
      </w:pPr>
      <w:bookmarkStart w:id="33" w:name="_Toc65660336"/>
      <w:bookmarkStart w:id="34" w:name="_Toc525047163"/>
      <w:bookmarkStart w:id="35" w:name="_Toc16269"/>
      <w:bookmarkStart w:id="36" w:name="_Toc6563"/>
      <w:bookmarkStart w:id="37" w:name="_Toc4728"/>
      <w:bookmarkStart w:id="38" w:name="_Toc521053055"/>
      <w:bookmarkStart w:id="39" w:name="_Toc106034776"/>
      <w:r>
        <w:rPr>
          <w:rFonts w:hint="eastAsia" w:ascii="方正仿宋_GBK" w:eastAsia="方正仿宋_GBK"/>
          <w:sz w:val="24"/>
        </w:rPr>
        <w:t>五、其它有关规定</w:t>
      </w:r>
      <w:bookmarkEnd w:id="33"/>
      <w:bookmarkEnd w:id="34"/>
      <w:bookmarkEnd w:id="35"/>
      <w:bookmarkEnd w:id="36"/>
      <w:bookmarkEnd w:id="37"/>
      <w:bookmarkEnd w:id="38"/>
      <w:bookmarkEnd w:id="39"/>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（包）</w:t>
      </w:r>
      <w:r>
        <w:rPr>
          <w:rFonts w:ascii="方正仿宋_GBK" w:hAnsi="宋体" w:eastAsia="方正仿宋_GBK"/>
          <w:sz w:val="24"/>
          <w:szCs w:val="24"/>
        </w:rPr>
        <w:t>下的政府采购活动</w:t>
      </w:r>
      <w:r>
        <w:rPr>
          <w:rFonts w:hint="eastAsia" w:ascii="方正仿宋_GBK" w:hAnsi="宋体" w:eastAsia="方正仿宋_GBK"/>
          <w:sz w:val="24"/>
          <w:szCs w:val="24"/>
        </w:rPr>
        <w:t>，否则均为无效报价。</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（三）同一合同项（包）下为单一品目的货物采购中，同一品牌同一型号产品有多家供应商参加谈判，只能按照一家供应商计算。</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（四）同一合同项（包）下的货物，制造商参与报价的，不得再委托代理商参与报价。</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（五）本项目的澄清文件（如果有）一律在重庆市交通局官网上发布，请各供应商注意下载；无论供应商下载或领取与否，均视同供应商已知晓本项目澄清文件（如果有）的内容。</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（六）超过响应文件截止时间递交的响应文件，恕不接收。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（七）限额以下比价费用：无论采购结果如何，供应商参与本项目比价的所有费用均应由供应商自行承担。</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（八）本项目不接受联合体参与报价，否则按无效处理。</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（九）本项目不接受合同分包，否则按无效处理。</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bCs/>
          <w:sz w:val="24"/>
          <w:szCs w:val="24"/>
        </w:rPr>
        <w:t>（十）</w:t>
      </w:r>
      <w:r>
        <w:rPr>
          <w:rFonts w:hint="eastAsia" w:ascii="方正仿宋_GBK" w:hAnsi="宋体" w:eastAsia="方正仿宋_GBK"/>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pPr>
        <w:pStyle w:val="3"/>
        <w:adjustRightInd w:val="0"/>
        <w:snapToGrid w:val="0"/>
        <w:spacing w:line="400" w:lineRule="exact"/>
        <w:ind w:left="560" w:firstLine="482" w:firstLineChars="200"/>
        <w:rPr>
          <w:rFonts w:ascii="方正仿宋_GBK" w:eastAsia="方正仿宋_GBK"/>
          <w:sz w:val="24"/>
        </w:rPr>
      </w:pPr>
      <w:bookmarkStart w:id="40" w:name="_Toc521053056"/>
      <w:bookmarkStart w:id="41" w:name="_Toc10415"/>
      <w:bookmarkStart w:id="42" w:name="_Toc1733"/>
      <w:bookmarkStart w:id="43" w:name="_Toc65660337"/>
      <w:bookmarkStart w:id="44" w:name="_Toc1552"/>
      <w:bookmarkStart w:id="45" w:name="_Toc106034777"/>
      <w:bookmarkStart w:id="46" w:name="_Toc525047164"/>
      <w:r>
        <w:rPr>
          <w:rFonts w:hint="eastAsia" w:ascii="方正仿宋_GBK" w:eastAsia="方正仿宋_GBK"/>
          <w:sz w:val="24"/>
        </w:rPr>
        <w:t>六、联系方式</w:t>
      </w:r>
      <w:bookmarkEnd w:id="40"/>
      <w:bookmarkEnd w:id="41"/>
      <w:bookmarkEnd w:id="42"/>
      <w:bookmarkEnd w:id="43"/>
      <w:bookmarkEnd w:id="44"/>
      <w:bookmarkEnd w:id="45"/>
      <w:bookmarkEnd w:id="46"/>
    </w:p>
    <w:p>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采购人：重庆市合川航道管理处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联系人：李真</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  话：023-42894334</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传  真：023-42889369</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地  址：重庆市合川区药市街79号</w:t>
      </w:r>
    </w:p>
    <w:p>
      <w:pPr>
        <w:snapToGrid w:val="0"/>
        <w:spacing w:line="400" w:lineRule="exact"/>
        <w:ind w:firstLine="480" w:firstLineChars="200"/>
        <w:rPr>
          <w:rFonts w:ascii="方正仿宋_GBK" w:hAnsi="宋体" w:eastAsia="方正仿宋_GBK"/>
          <w:sz w:val="24"/>
          <w:szCs w:val="24"/>
        </w:rPr>
      </w:pPr>
    </w:p>
    <w:p>
      <w:pPr>
        <w:snapToGrid w:val="0"/>
        <w:spacing w:line="380" w:lineRule="exact"/>
        <w:ind w:firstLine="480" w:firstLineChars="200"/>
        <w:rPr>
          <w:rFonts w:ascii="方正仿宋_GBK" w:hAnsi="宋体" w:eastAsia="方正仿宋_GBK"/>
          <w:sz w:val="24"/>
          <w:szCs w:val="24"/>
        </w:rPr>
        <w:sectPr>
          <w:pgSz w:w="11907" w:h="16840"/>
          <w:pgMar w:top="1134" w:right="1418" w:bottom="1134" w:left="1418" w:header="964" w:footer="992" w:gutter="0"/>
          <w:pgNumType w:fmt="numberInDash"/>
          <w:cols w:space="720" w:num="1"/>
          <w:docGrid w:linePitch="312" w:charSpace="0"/>
        </w:sectPr>
      </w:pPr>
    </w:p>
    <w:p>
      <w:pPr>
        <w:pStyle w:val="3"/>
        <w:spacing w:line="360" w:lineRule="auto"/>
        <w:ind w:left="560"/>
        <w:jc w:val="center"/>
        <w:rPr>
          <w:rFonts w:ascii="方正小标宋_GBK" w:eastAsia="方正小标宋_GBK"/>
          <w:b w:val="0"/>
          <w:sz w:val="36"/>
          <w:szCs w:val="30"/>
        </w:rPr>
      </w:pPr>
      <w:bookmarkStart w:id="47" w:name="_Toc11327"/>
      <w:bookmarkStart w:id="48" w:name="_Toc65660338"/>
      <w:bookmarkStart w:id="49" w:name="_Toc14516"/>
      <w:bookmarkStart w:id="50" w:name="_Toc1292"/>
      <w:bookmarkStart w:id="51" w:name="_Toc106034778"/>
      <w:bookmarkStart w:id="52" w:name="_Toc102227313"/>
      <w:r>
        <w:rPr>
          <w:rFonts w:hint="eastAsia" w:ascii="方正小标宋_GBK" w:eastAsia="方正小标宋_GBK"/>
          <w:b w:val="0"/>
          <w:sz w:val="36"/>
          <w:szCs w:val="30"/>
        </w:rPr>
        <w:t>第二篇  项目技术（质量）需求</w:t>
      </w:r>
      <w:bookmarkEnd w:id="47"/>
      <w:bookmarkEnd w:id="48"/>
      <w:bookmarkEnd w:id="49"/>
      <w:bookmarkEnd w:id="50"/>
      <w:bookmarkEnd w:id="51"/>
    </w:p>
    <w:p>
      <w:pPr>
        <w:jc w:val="center"/>
        <w:rPr>
          <w:b/>
        </w:rPr>
      </w:pPr>
    </w:p>
    <w:p>
      <w:pPr>
        <w:jc w:val="center"/>
        <w:rPr>
          <w:b/>
        </w:rPr>
      </w:pPr>
      <w:r>
        <w:rPr>
          <w:rFonts w:hint="eastAsia"/>
          <w:b/>
        </w:rPr>
        <w:t>服务类</w:t>
      </w:r>
    </w:p>
    <w:p>
      <w:pPr>
        <w:jc w:val="center"/>
        <w:rPr>
          <w:b/>
        </w:rPr>
      </w:pPr>
    </w:p>
    <w:p>
      <w:pPr>
        <w:pStyle w:val="3"/>
        <w:adjustRightInd w:val="0"/>
        <w:snapToGrid w:val="0"/>
        <w:spacing w:line="400" w:lineRule="exact"/>
        <w:ind w:left="560" w:firstLine="482" w:firstLineChars="200"/>
        <w:rPr>
          <w:rFonts w:ascii="方正仿宋_GBK" w:eastAsia="方正仿宋_GBK"/>
          <w:sz w:val="24"/>
        </w:rPr>
      </w:pPr>
      <w:bookmarkStart w:id="53" w:name="_Toc106030879"/>
      <w:r>
        <w:rPr>
          <w:rFonts w:hint="eastAsia" w:ascii="方正仿宋_GBK" w:eastAsia="方正仿宋_GBK"/>
          <w:sz w:val="24"/>
        </w:rPr>
        <w:t>一、项目基本概况介绍</w:t>
      </w:r>
      <w:bookmarkEnd w:id="53"/>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2"/>
        <w:gridCol w:w="2268"/>
        <w:gridCol w:w="4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455" w:type="pct"/>
            <w:vAlign w:val="center"/>
          </w:tcPr>
          <w:p>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包号及名称</w:t>
            </w:r>
          </w:p>
        </w:tc>
        <w:tc>
          <w:tcPr>
            <w:tcW w:w="1178" w:type="pct"/>
            <w:vAlign w:val="center"/>
          </w:tcPr>
          <w:p>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数量/单位</w:t>
            </w:r>
          </w:p>
        </w:tc>
        <w:tc>
          <w:tcPr>
            <w:tcW w:w="2367" w:type="pct"/>
            <w:vAlign w:val="center"/>
          </w:tcPr>
          <w:p>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pct"/>
          </w:tcPr>
          <w:p>
            <w:pPr>
              <w:spacing w:line="360" w:lineRule="auto"/>
              <w:rPr>
                <w:rFonts w:hint="eastAsia" w:ascii="方正仿宋_GBK" w:hAnsi="宋体" w:eastAsia="方正仿宋_GBK"/>
                <w:sz w:val="24"/>
                <w:szCs w:val="24"/>
                <w:lang w:eastAsia="zh-CN"/>
              </w:rPr>
            </w:pPr>
            <w:r>
              <w:rPr>
                <w:rFonts w:hint="eastAsia" w:ascii="方正仿宋_GBK" w:hAnsi="宋体" w:eastAsia="方正仿宋_GBK"/>
                <w:sz w:val="24"/>
                <w:szCs w:val="24"/>
                <w:lang w:eastAsia="zh-CN"/>
              </w:rPr>
              <w:t>仓库外墙排危</w:t>
            </w:r>
          </w:p>
        </w:tc>
        <w:tc>
          <w:tcPr>
            <w:tcW w:w="1178" w:type="pct"/>
          </w:tcPr>
          <w:p>
            <w:pPr>
              <w:spacing w:line="360" w:lineRule="auto"/>
              <w:rPr>
                <w:rFonts w:ascii="方正仿宋_GBK" w:hAnsi="宋体" w:eastAsia="方正仿宋_GBK"/>
                <w:sz w:val="24"/>
                <w:szCs w:val="24"/>
              </w:rPr>
            </w:pPr>
            <w:r>
              <w:rPr>
                <w:rFonts w:hint="eastAsia" w:ascii="方正仿宋_GBK" w:hAnsi="宋体" w:eastAsia="方正仿宋_GBK"/>
                <w:sz w:val="24"/>
                <w:szCs w:val="24"/>
              </w:rPr>
              <w:t>（见设计方案）</w:t>
            </w:r>
          </w:p>
        </w:tc>
        <w:tc>
          <w:tcPr>
            <w:tcW w:w="2367" w:type="pct"/>
          </w:tcPr>
          <w:p>
            <w:pPr>
              <w:spacing w:line="400" w:lineRule="exact"/>
              <w:rPr>
                <w:rFonts w:ascii="方正仿宋_GBK" w:hAnsi="宋体" w:eastAsia="方正仿宋_GBK"/>
                <w:sz w:val="24"/>
                <w:szCs w:val="24"/>
              </w:rPr>
            </w:pPr>
          </w:p>
        </w:tc>
      </w:tr>
    </w:tbl>
    <w:p>
      <w:pPr>
        <w:pStyle w:val="3"/>
        <w:adjustRightInd w:val="0"/>
        <w:snapToGrid w:val="0"/>
        <w:spacing w:line="400" w:lineRule="exact"/>
        <w:ind w:left="560" w:firstLine="482" w:firstLineChars="200"/>
        <w:rPr>
          <w:rFonts w:ascii="方正仿宋_GBK" w:eastAsia="方正仿宋_GBK"/>
          <w:sz w:val="24"/>
        </w:rPr>
      </w:pPr>
      <w:bookmarkStart w:id="54" w:name="_Toc106030880"/>
      <w:r>
        <w:rPr>
          <w:rFonts w:hint="eastAsia" w:ascii="方正仿宋_GBK" w:eastAsia="方正仿宋_GBK"/>
          <w:sz w:val="24"/>
        </w:rPr>
        <w:t>二、服务范围、要求及标准</w:t>
      </w:r>
      <w:bookmarkEnd w:id="54"/>
    </w:p>
    <w:tbl>
      <w:tblPr>
        <w:tblStyle w:val="12"/>
        <w:tblW w:w="85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2160"/>
        <w:gridCol w:w="2940"/>
        <w:gridCol w:w="1080"/>
        <w:gridCol w:w="1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bookmarkStart w:id="55" w:name="_Toc313536013"/>
            <w:bookmarkStart w:id="56" w:name="_Toc344475116"/>
            <w:bookmarkStart w:id="57" w:name="_Toc106030881"/>
            <w:bookmarkStart w:id="58" w:name="_Toc76462326"/>
            <w:r>
              <w:rPr>
                <w:rFonts w:hint="eastAsia" w:ascii="宋体" w:hAnsi="宋体" w:eastAsia="宋体" w:cs="宋体"/>
                <w:i w:val="0"/>
                <w:iCs w:val="0"/>
                <w:color w:val="000000"/>
                <w:kern w:val="0"/>
                <w:sz w:val="18"/>
                <w:szCs w:val="18"/>
                <w:u w:val="none"/>
                <w:lang w:val="en-US" w:eastAsia="zh-CN" w:bidi="ar"/>
              </w:rPr>
              <w:t>序号</w:t>
            </w:r>
          </w:p>
        </w:tc>
        <w:tc>
          <w:tcPr>
            <w:tcW w:w="216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1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拆除工程</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1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拆除墙面</w:t>
            </w:r>
          </w:p>
        </w:tc>
        <w:tc>
          <w:tcPr>
            <w:tcW w:w="29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1.拆除部位:现有外墙面拆除（现状树根）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1.拆除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2.控制扬尘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3.清理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4.场内运输</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1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垃圾清运</w:t>
            </w:r>
          </w:p>
        </w:tc>
        <w:tc>
          <w:tcPr>
            <w:tcW w:w="29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1.运输距离:综合考虑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2.弃渣</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1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外墙修缮</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0" w:hRule="atLeast"/>
        </w:trPr>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1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外墙面修补</w:t>
            </w:r>
          </w:p>
        </w:tc>
        <w:tc>
          <w:tcPr>
            <w:tcW w:w="29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1.面层保护:喷甲基硅醇钠憎水剂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2.面层做法:喷（刷）涂料面层二遍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3.基层做法:6厚聚合物水泥防水砂浆（干分类）兼找平层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4.抹灰做法:12厚1：3水泥砂浆打底，两侧成活，扫毛或划出纹道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5.基层清理:缝隙大于10mm时采用聚乙烯发泡填充料作嵌缝材料，其密度小于0.037g/cm3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6.基层处理:电锯锯植物根茎并清理干净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7.施工保护:相邻建筑物的保护措施、外墙立面上的给水管等有拆除部分应恢复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8.其他要求:满足设计、规范及使用要求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1.基层清理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2.刮腻子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3.刷防护材料、油漆</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1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施工措施</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0" w:hRule="atLeast"/>
        </w:trPr>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1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外脚手架</w:t>
            </w:r>
          </w:p>
        </w:tc>
        <w:tc>
          <w:tcPr>
            <w:tcW w:w="29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1.搭设方式:外墙脚手架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2.搭设高度:20m以内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3.其他要求:满足设计、规范及施工要求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1.场内、场外材料搬运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2.搭、拆脚手架、斜道、上料平台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3.安全网的铺设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4.拆除脚手架后材料的堆放</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64.6</w:t>
            </w:r>
          </w:p>
        </w:tc>
      </w:tr>
    </w:tbl>
    <w:p>
      <w:pPr>
        <w:pStyle w:val="3"/>
        <w:adjustRightInd w:val="0"/>
        <w:snapToGrid w:val="0"/>
        <w:spacing w:line="400" w:lineRule="exact"/>
        <w:ind w:left="560" w:firstLine="482" w:firstLineChars="200"/>
        <w:rPr>
          <w:rFonts w:hint="eastAsia" w:ascii="方正仿宋_GBK" w:eastAsia="方正仿宋_GBK"/>
          <w:sz w:val="24"/>
        </w:rPr>
      </w:pPr>
    </w:p>
    <w:p>
      <w:pPr>
        <w:pStyle w:val="3"/>
        <w:adjustRightInd w:val="0"/>
        <w:snapToGrid w:val="0"/>
        <w:spacing w:line="400" w:lineRule="exact"/>
        <w:ind w:left="560" w:firstLine="482" w:firstLineChars="200"/>
        <w:rPr>
          <w:rFonts w:ascii="方正仿宋_GBK" w:eastAsia="方正仿宋_GBK"/>
          <w:sz w:val="24"/>
        </w:rPr>
      </w:pPr>
      <w:r>
        <w:rPr>
          <w:rFonts w:hint="eastAsia" w:ascii="方正仿宋_GBK" w:eastAsia="方正仿宋_GBK"/>
          <w:sz w:val="24"/>
        </w:rPr>
        <w:t>三、服务及质量</w:t>
      </w:r>
      <w:bookmarkEnd w:id="55"/>
      <w:bookmarkEnd w:id="56"/>
      <w:r>
        <w:rPr>
          <w:rFonts w:hint="eastAsia" w:ascii="方正仿宋_GBK" w:eastAsia="方正仿宋_GBK"/>
          <w:sz w:val="24"/>
        </w:rPr>
        <w:t>需求</w:t>
      </w:r>
      <w:bookmarkEnd w:id="57"/>
      <w:bookmarkEnd w:id="58"/>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达到国家现行有关质量验收规范要求，并达到合格标准。</w:t>
      </w:r>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pStyle w:val="3"/>
        <w:spacing w:line="360" w:lineRule="auto"/>
        <w:ind w:left="560"/>
        <w:jc w:val="center"/>
        <w:rPr>
          <w:rFonts w:ascii="方正小标宋_GBK" w:eastAsia="方正小标宋_GBK"/>
          <w:b w:val="0"/>
          <w:sz w:val="36"/>
          <w:szCs w:val="30"/>
        </w:rPr>
      </w:pPr>
      <w:r>
        <w:rPr>
          <w:rFonts w:ascii="方正小标宋_GBK" w:eastAsia="方正小标宋_GBK"/>
          <w:b w:val="0"/>
          <w:sz w:val="36"/>
          <w:szCs w:val="30"/>
        </w:rPr>
        <w:br w:type="page"/>
      </w:r>
      <w:bookmarkStart w:id="59" w:name="_Toc13356"/>
      <w:bookmarkStart w:id="60" w:name="_Toc15492"/>
      <w:bookmarkStart w:id="61" w:name="_Toc65660341"/>
      <w:bookmarkStart w:id="62" w:name="_Toc523"/>
      <w:bookmarkStart w:id="63" w:name="_Toc106034781"/>
      <w:r>
        <w:rPr>
          <w:rFonts w:hint="eastAsia" w:ascii="方正小标宋_GBK" w:eastAsia="方正小标宋_GBK"/>
          <w:b w:val="0"/>
          <w:sz w:val="36"/>
          <w:szCs w:val="30"/>
        </w:rPr>
        <w:t xml:space="preserve">第三篇  </w:t>
      </w:r>
      <w:bookmarkEnd w:id="52"/>
      <w:r>
        <w:rPr>
          <w:rFonts w:hint="eastAsia" w:ascii="方正小标宋_GBK" w:eastAsia="方正小标宋_GBK"/>
          <w:b w:val="0"/>
          <w:sz w:val="36"/>
          <w:szCs w:val="30"/>
        </w:rPr>
        <w:t>项目</w:t>
      </w:r>
      <w:bookmarkEnd w:id="59"/>
      <w:bookmarkEnd w:id="60"/>
      <w:bookmarkEnd w:id="61"/>
      <w:bookmarkEnd w:id="62"/>
      <w:r>
        <w:rPr>
          <w:rFonts w:hint="eastAsia" w:ascii="方正小标宋_GBK" w:eastAsia="方正小标宋_GBK"/>
          <w:b w:val="0"/>
          <w:sz w:val="36"/>
          <w:szCs w:val="30"/>
        </w:rPr>
        <w:t>商务需求</w:t>
      </w:r>
      <w:bookmarkEnd w:id="63"/>
    </w:p>
    <w:p>
      <w:pPr>
        <w:pStyle w:val="3"/>
        <w:adjustRightInd w:val="0"/>
        <w:snapToGrid w:val="0"/>
        <w:spacing w:line="400" w:lineRule="exact"/>
        <w:ind w:left="560" w:firstLine="482" w:firstLineChars="200"/>
        <w:rPr>
          <w:rFonts w:ascii="方正仿宋_GBK" w:eastAsia="方正仿宋_GBK"/>
          <w:sz w:val="24"/>
        </w:rPr>
      </w:pPr>
      <w:bookmarkStart w:id="64" w:name="_Toc106034782"/>
      <w:bookmarkStart w:id="65" w:name="_Toc12935"/>
      <w:bookmarkStart w:id="66" w:name="_Toc65660342"/>
      <w:bookmarkStart w:id="67" w:name="_Toc13555"/>
      <w:bookmarkStart w:id="68" w:name="_Toc17750"/>
      <w:bookmarkStart w:id="69" w:name="_Toc342913389"/>
      <w:r>
        <w:rPr>
          <w:rFonts w:hint="eastAsia" w:ascii="方正仿宋_GBK" w:eastAsia="方正仿宋_GBK"/>
          <w:sz w:val="24"/>
        </w:rPr>
        <w:t>一、交货时间/服务期、地点及验收方式</w:t>
      </w:r>
      <w:bookmarkEnd w:id="64"/>
      <w:bookmarkEnd w:id="65"/>
      <w:bookmarkEnd w:id="66"/>
      <w:bookmarkEnd w:id="67"/>
      <w:bookmarkEnd w:id="68"/>
    </w:p>
    <w:p>
      <w:pPr>
        <w:pStyle w:val="8"/>
        <w:spacing w:line="400" w:lineRule="exact"/>
        <w:ind w:firstLine="360" w:firstLineChars="150"/>
        <w:outlineLvl w:val="2"/>
        <w:rPr>
          <w:rFonts w:hint="default" w:ascii="方正仿宋_GBK" w:hAnsi="宋体" w:eastAsia="方正仿宋_GBK"/>
          <w:sz w:val="24"/>
          <w:szCs w:val="24"/>
          <w:lang w:val="en-US" w:eastAsia="zh-CN"/>
        </w:rPr>
      </w:pPr>
      <w:r>
        <w:rPr>
          <w:rFonts w:hint="eastAsia" w:ascii="方正仿宋_GBK" w:hAnsi="宋体" w:eastAsia="方正仿宋_GBK"/>
          <w:sz w:val="24"/>
          <w:szCs w:val="24"/>
        </w:rPr>
        <w:t>（一）交货时间/服务期：</w:t>
      </w:r>
      <w:r>
        <w:rPr>
          <w:rFonts w:hint="eastAsia" w:ascii="方正仿宋_GBK" w:hAnsi="宋体" w:eastAsia="方正仿宋_GBK"/>
          <w:sz w:val="24"/>
          <w:szCs w:val="24"/>
          <w:lang w:eastAsia="zh-CN"/>
        </w:rPr>
        <w:t>合同签订后</w:t>
      </w:r>
      <w:r>
        <w:rPr>
          <w:rFonts w:hint="eastAsia" w:ascii="方正仿宋_GBK" w:hAnsi="宋体" w:eastAsia="方正仿宋_GBK"/>
          <w:sz w:val="24"/>
          <w:szCs w:val="24"/>
          <w:lang w:val="en-US" w:eastAsia="zh-CN"/>
        </w:rPr>
        <w:t>10个日历日内</w:t>
      </w:r>
    </w:p>
    <w:p>
      <w:pPr>
        <w:pStyle w:val="8"/>
        <w:spacing w:line="400" w:lineRule="exact"/>
        <w:ind w:firstLine="360" w:firstLineChars="150"/>
        <w:outlineLvl w:val="2"/>
        <w:rPr>
          <w:rFonts w:hint="default" w:ascii="方正仿宋_GBK" w:hAnsi="宋体" w:eastAsia="方正仿宋_GBK"/>
          <w:sz w:val="24"/>
          <w:szCs w:val="24"/>
          <w:lang w:val="en-US" w:eastAsia="zh-CN"/>
        </w:rPr>
      </w:pPr>
      <w:r>
        <w:rPr>
          <w:rFonts w:hint="eastAsia" w:ascii="方正仿宋_GBK" w:hAnsi="宋体" w:eastAsia="方正仿宋_GBK"/>
          <w:sz w:val="24"/>
          <w:szCs w:val="24"/>
        </w:rPr>
        <w:t>（二）交货/服务地点：重庆市合川区</w:t>
      </w:r>
      <w:r>
        <w:rPr>
          <w:rFonts w:hint="eastAsia" w:ascii="方正仿宋_GBK" w:hAnsi="宋体" w:eastAsia="方正仿宋_GBK"/>
          <w:sz w:val="24"/>
          <w:szCs w:val="24"/>
          <w:lang w:eastAsia="zh-CN"/>
        </w:rPr>
        <w:t>小南街</w:t>
      </w:r>
      <w:r>
        <w:rPr>
          <w:rFonts w:hint="eastAsia" w:ascii="方正仿宋_GBK" w:hAnsi="宋体" w:eastAsia="方正仿宋_GBK"/>
          <w:color w:val="auto"/>
          <w:sz w:val="24"/>
          <w:szCs w:val="24"/>
          <w:lang w:val="en-US" w:eastAsia="zh-CN"/>
        </w:rPr>
        <w:t>48号</w:t>
      </w:r>
    </w:p>
    <w:p>
      <w:pPr>
        <w:pStyle w:val="8"/>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（三）验收方式：现场验收</w:t>
      </w:r>
    </w:p>
    <w:p>
      <w:pPr>
        <w:pStyle w:val="3"/>
        <w:adjustRightInd w:val="0"/>
        <w:snapToGrid w:val="0"/>
        <w:spacing w:line="400" w:lineRule="exact"/>
        <w:ind w:left="560" w:firstLine="482" w:firstLineChars="200"/>
        <w:rPr>
          <w:rFonts w:ascii="方正仿宋_GBK" w:eastAsia="方正仿宋_GBK"/>
          <w:sz w:val="24"/>
        </w:rPr>
      </w:pPr>
      <w:bookmarkStart w:id="70" w:name="_Toc1838"/>
      <w:bookmarkStart w:id="71" w:name="_Toc8103"/>
      <w:bookmarkStart w:id="72" w:name="_Toc106034783"/>
      <w:bookmarkStart w:id="73" w:name="_Toc24110"/>
      <w:bookmarkStart w:id="74" w:name="_Toc65660343"/>
      <w:r>
        <w:rPr>
          <w:rFonts w:hint="eastAsia" w:ascii="方正仿宋_GBK" w:eastAsia="方正仿宋_GBK"/>
          <w:sz w:val="24"/>
        </w:rPr>
        <w:t>二、质量保证及售后服务</w:t>
      </w:r>
      <w:bookmarkEnd w:id="70"/>
      <w:bookmarkEnd w:id="71"/>
      <w:bookmarkEnd w:id="72"/>
      <w:bookmarkEnd w:id="73"/>
      <w:bookmarkEnd w:id="74"/>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（一）产品质量保证期：自验收合格之日起，提供1年的免费质保期。</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（二）售后服务内容</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供应商在质量保证期内应当为采购人提供以下技术支持服务：</w:t>
      </w:r>
    </w:p>
    <w:p>
      <w:pPr>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1.质量保证期内服务要求</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1.1电话咨询</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成交供应商应当为用户提供技术援助电话，解答用户在使用中遇到的问题，及时为用户提出解决问题的建议。</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1.2现场响应</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用户遇到使用及技术问题，电话咨询不能解决的，成交供应商应在24小时内采取相应响应措施；无法在24小时内解决的，应在48小时内派出专业人员进行技术支持。</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（三）备品备件及易损件</w:t>
      </w:r>
    </w:p>
    <w:p>
      <w:pPr>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供应商售后服务中，维修使用的备品备件及易损件应为原厂配件，未经采购人同意不得使用非原厂配件。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cs="宋体"/>
          <w:kern w:val="0"/>
          <w:sz w:val="24"/>
          <w:szCs w:val="24"/>
        </w:rPr>
        <w:t>（四）其他</w:t>
      </w:r>
    </w:p>
    <w:p>
      <w:pPr>
        <w:pStyle w:val="3"/>
        <w:adjustRightInd w:val="0"/>
        <w:snapToGrid w:val="0"/>
        <w:spacing w:line="400" w:lineRule="exact"/>
        <w:ind w:left="560" w:firstLine="482" w:firstLineChars="200"/>
        <w:rPr>
          <w:rFonts w:ascii="方正仿宋_GBK" w:eastAsia="方正仿宋_GBK"/>
          <w:sz w:val="24"/>
        </w:rPr>
      </w:pPr>
      <w:bookmarkStart w:id="75" w:name="_Toc122"/>
      <w:bookmarkStart w:id="76" w:name="_Toc106034784"/>
      <w:bookmarkStart w:id="77" w:name="_Toc65660344"/>
      <w:bookmarkStart w:id="78" w:name="_Toc12184"/>
      <w:bookmarkStart w:id="79" w:name="_Toc16974"/>
      <w:r>
        <w:rPr>
          <w:rFonts w:hint="eastAsia" w:ascii="方正仿宋_GBK" w:eastAsia="方正仿宋_GBK"/>
          <w:sz w:val="24"/>
        </w:rPr>
        <w:t>三、报价要求</w:t>
      </w:r>
      <w:bookmarkEnd w:id="75"/>
      <w:bookmarkEnd w:id="76"/>
      <w:bookmarkEnd w:id="77"/>
      <w:bookmarkEnd w:id="78"/>
      <w:bookmarkEnd w:id="79"/>
    </w:p>
    <w:p>
      <w:pPr>
        <w:adjustRightInd w:val="0"/>
        <w:snapToGrid w:val="0"/>
        <w:spacing w:line="400" w:lineRule="exact"/>
        <w:ind w:firstLine="480" w:firstLineChars="200"/>
        <w:jc w:val="left"/>
        <w:rPr>
          <w:rFonts w:ascii="方正仿宋_GBK" w:hAnsi="方正仿宋_GBK" w:eastAsia="方正仿宋_GBK" w:cs="方正仿宋_GBK"/>
          <w:kern w:val="0"/>
          <w:sz w:val="24"/>
          <w:szCs w:val="24"/>
          <w:lang w:val="zh-TW"/>
        </w:rPr>
      </w:pPr>
      <w:r>
        <w:rPr>
          <w:rFonts w:hint="eastAsia" w:ascii="方正仿宋_GBK" w:hAnsi="宋体" w:eastAsia="方正仿宋_GBK"/>
          <w:sz w:val="24"/>
          <w:szCs w:val="24"/>
        </w:rPr>
        <w:t>本项目采取固定</w:t>
      </w:r>
      <w:r>
        <w:rPr>
          <w:rFonts w:hint="eastAsia" w:ascii="方正仿宋_GBK" w:hAnsi="宋体" w:eastAsia="方正仿宋_GBK"/>
          <w:color w:val="auto"/>
          <w:sz w:val="24"/>
          <w:szCs w:val="24"/>
        </w:rPr>
        <w:t>总价/单价</w:t>
      </w:r>
      <w:r>
        <w:rPr>
          <w:rFonts w:hint="eastAsia" w:ascii="方正仿宋_GBK" w:hAnsi="宋体" w:eastAsia="方正仿宋_GBK"/>
          <w:sz w:val="24"/>
          <w:szCs w:val="24"/>
        </w:rPr>
        <w:t>的报价方式，报价</w:t>
      </w:r>
      <w:r>
        <w:rPr>
          <w:rFonts w:hint="eastAsia" w:ascii="方正仿宋_GBK" w:hAnsi="宋体" w:eastAsia="方正仿宋_GBK" w:cs="宋体"/>
          <w:kern w:val="0"/>
          <w:sz w:val="24"/>
          <w:szCs w:val="24"/>
        </w:rPr>
        <w:t>须为人民币报价</w:t>
      </w:r>
      <w:r>
        <w:rPr>
          <w:rFonts w:hint="eastAsia" w:ascii="方正仿宋_GBK" w:hAnsi="宋体" w:eastAsia="方正仿宋_GBK"/>
          <w:sz w:val="24"/>
          <w:szCs w:val="24"/>
        </w:rPr>
        <w:t>，包括完成本项目所需的材料费、制作费、安装费、运输费</w:t>
      </w:r>
      <w:r>
        <w:rPr>
          <w:rFonts w:hint="eastAsia" w:ascii="方正仿宋_GBK" w:hAnsi="宋体" w:eastAsia="方正仿宋_GBK"/>
          <w:sz w:val="24"/>
          <w:szCs w:val="24"/>
          <w:lang w:eastAsia="zh-CN"/>
        </w:rPr>
        <w:t>、措施项目费、规费</w:t>
      </w:r>
      <w:r>
        <w:rPr>
          <w:rFonts w:hint="eastAsia" w:ascii="方正仿宋_GBK" w:hAnsi="宋体" w:eastAsia="方正仿宋_GBK"/>
          <w:sz w:val="24"/>
          <w:szCs w:val="24"/>
        </w:rPr>
        <w:t>及各种应纳的税费</w:t>
      </w:r>
      <w:r>
        <w:rPr>
          <w:rFonts w:hint="eastAsia" w:ascii="方正仿宋_GBK" w:hAnsi="宋体" w:eastAsia="方正仿宋_GBK"/>
          <w:sz w:val="24"/>
          <w:szCs w:val="24"/>
          <w:lang w:eastAsia="zh-CN"/>
        </w:rPr>
        <w:t>等完成本项目产生的所有费用</w:t>
      </w:r>
      <w:r>
        <w:rPr>
          <w:rFonts w:hint="eastAsia" w:ascii="方正仿宋_GBK" w:hAnsi="宋体" w:eastAsia="方正仿宋_GBK"/>
          <w:sz w:val="24"/>
          <w:szCs w:val="24"/>
        </w:rPr>
        <w:t>。因成交供应商自身原因造成漏报、少报皆由其自行承担责任，采购人不再补偿。</w:t>
      </w:r>
    </w:p>
    <w:p>
      <w:pPr>
        <w:pStyle w:val="3"/>
        <w:adjustRightInd w:val="0"/>
        <w:snapToGrid w:val="0"/>
        <w:spacing w:line="400" w:lineRule="exact"/>
        <w:ind w:left="560" w:firstLine="482" w:firstLineChars="200"/>
        <w:rPr>
          <w:rFonts w:ascii="方正仿宋_GBK" w:eastAsia="方正仿宋_GBK"/>
          <w:sz w:val="24"/>
        </w:rPr>
      </w:pPr>
      <w:bookmarkStart w:id="80" w:name="_Toc7562"/>
      <w:bookmarkStart w:id="81" w:name="_Toc65660345"/>
      <w:bookmarkStart w:id="82" w:name="_Toc11000"/>
      <w:bookmarkStart w:id="83" w:name="_Toc106034785"/>
      <w:bookmarkStart w:id="84" w:name="_Toc9192"/>
      <w:r>
        <w:rPr>
          <w:rFonts w:hint="eastAsia" w:ascii="方正仿宋_GBK" w:eastAsia="方正仿宋_GBK"/>
          <w:sz w:val="24"/>
        </w:rPr>
        <w:t>四、付款方式</w:t>
      </w:r>
      <w:bookmarkEnd w:id="80"/>
      <w:bookmarkEnd w:id="81"/>
      <w:bookmarkEnd w:id="82"/>
      <w:bookmarkEnd w:id="83"/>
      <w:bookmarkEnd w:id="84"/>
    </w:p>
    <w:p>
      <w:pPr>
        <w:snapToGrid w:val="0"/>
        <w:spacing w:line="400" w:lineRule="exact"/>
        <w:ind w:firstLine="540"/>
        <w:rPr>
          <w:rFonts w:ascii="方正仿宋_GBK" w:hAnsi="宋体" w:eastAsia="方正仿宋_GBK"/>
          <w:sz w:val="24"/>
          <w:szCs w:val="24"/>
        </w:rPr>
      </w:pPr>
      <w:r>
        <w:rPr>
          <w:rFonts w:hint="eastAsia" w:ascii="方正仿宋_GBK" w:hAnsi="宋体" w:eastAsia="方正仿宋_GBK"/>
          <w:sz w:val="24"/>
          <w:szCs w:val="24"/>
        </w:rPr>
        <w:t>工程完工验收合格后，供应商出具正式发票，采购人于10个工作日内一次性全额支付工程款项。</w:t>
      </w:r>
    </w:p>
    <w:p>
      <w:pPr>
        <w:pStyle w:val="3"/>
        <w:adjustRightInd w:val="0"/>
        <w:snapToGrid w:val="0"/>
        <w:spacing w:line="400" w:lineRule="exact"/>
        <w:ind w:left="560" w:firstLine="482" w:firstLineChars="200"/>
        <w:rPr>
          <w:rFonts w:ascii="方正仿宋_GBK" w:eastAsia="方正仿宋_GBK"/>
          <w:sz w:val="24"/>
        </w:rPr>
      </w:pPr>
      <w:bookmarkStart w:id="85" w:name="_Toc65660346"/>
      <w:bookmarkStart w:id="86" w:name="_Toc7228"/>
      <w:bookmarkStart w:id="87" w:name="_Toc24751"/>
      <w:bookmarkStart w:id="88" w:name="_Toc3786"/>
      <w:bookmarkStart w:id="89" w:name="_Toc106034786"/>
      <w:r>
        <w:rPr>
          <w:rFonts w:hint="eastAsia" w:ascii="方正仿宋_GBK" w:eastAsia="方正仿宋_GBK"/>
          <w:sz w:val="24"/>
        </w:rPr>
        <w:t>五、知识产权</w:t>
      </w:r>
      <w:bookmarkEnd w:id="85"/>
      <w:bookmarkEnd w:id="86"/>
      <w:bookmarkEnd w:id="87"/>
      <w:bookmarkEnd w:id="88"/>
      <w:bookmarkEnd w:id="89"/>
    </w:p>
    <w:p>
      <w:pPr>
        <w:snapToGrid w:val="0"/>
        <w:spacing w:line="400" w:lineRule="exact"/>
        <w:ind w:firstLine="540"/>
        <w:rPr>
          <w:rFonts w:ascii="方正仿宋_GBK" w:hAnsi="宋体" w:eastAsia="方正仿宋_GBK"/>
          <w:sz w:val="24"/>
          <w:szCs w:val="24"/>
        </w:rPr>
      </w:pPr>
      <w:r>
        <w:rPr>
          <w:rFonts w:hint="eastAsia" w:ascii="方正仿宋_GBK" w:hAnsi="宋体" w:eastAsia="方正仿宋_GBK"/>
          <w:sz w:val="24"/>
          <w:szCs w:val="24"/>
        </w:rPr>
        <w:t>本项目知识产权归采购人所有。</w:t>
      </w:r>
    </w:p>
    <w:p>
      <w:pPr>
        <w:snapToGrid w:val="0"/>
        <w:spacing w:line="400" w:lineRule="exact"/>
        <w:ind w:firstLine="540"/>
        <w:rPr>
          <w:rFonts w:ascii="方正仿宋_GBK" w:hAnsi="宋体" w:eastAsia="方正仿宋_GBK"/>
          <w:sz w:val="24"/>
          <w:szCs w:val="24"/>
        </w:rPr>
      </w:pPr>
      <w:r>
        <w:rPr>
          <w:rFonts w:hint="eastAsia" w:ascii="方正仿宋_GBK" w:hAnsi="宋体" w:eastAsia="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3"/>
        <w:adjustRightInd w:val="0"/>
        <w:snapToGrid w:val="0"/>
        <w:spacing w:line="400" w:lineRule="exact"/>
        <w:ind w:left="560" w:firstLine="482" w:firstLineChars="200"/>
        <w:rPr>
          <w:rFonts w:ascii="方正仿宋_GBK" w:eastAsia="方正仿宋_GBK"/>
          <w:sz w:val="24"/>
        </w:rPr>
      </w:pPr>
      <w:bookmarkStart w:id="90" w:name="_Toc6869"/>
      <w:bookmarkStart w:id="91" w:name="_Toc5555"/>
      <w:bookmarkStart w:id="92" w:name="_Toc65660347"/>
      <w:bookmarkStart w:id="93" w:name="_Toc106034787"/>
      <w:bookmarkStart w:id="94" w:name="_Toc6565"/>
      <w:r>
        <w:rPr>
          <w:rFonts w:hint="eastAsia" w:ascii="方正仿宋_GBK" w:eastAsia="方正仿宋_GBK"/>
          <w:sz w:val="24"/>
        </w:rPr>
        <w:t>六、培训</w:t>
      </w:r>
      <w:bookmarkEnd w:id="90"/>
      <w:bookmarkEnd w:id="91"/>
      <w:bookmarkEnd w:id="92"/>
      <w:bookmarkEnd w:id="93"/>
      <w:bookmarkEnd w:id="94"/>
    </w:p>
    <w:p>
      <w:pPr>
        <w:snapToGrid w:val="0"/>
        <w:spacing w:line="400" w:lineRule="exact"/>
        <w:ind w:firstLine="540"/>
        <w:rPr>
          <w:rFonts w:ascii="方正仿宋_GBK" w:hAnsi="宋体" w:eastAsia="方正仿宋_GBK"/>
          <w:sz w:val="24"/>
          <w:szCs w:val="24"/>
        </w:rPr>
      </w:pPr>
      <w:r>
        <w:rPr>
          <w:rFonts w:hint="eastAsia" w:ascii="方正仿宋_GBK" w:hAnsi="宋体" w:eastAsia="方正仿宋_GBK"/>
          <w:sz w:val="24"/>
          <w:szCs w:val="24"/>
        </w:rPr>
        <w:t>成交供应商须提供对设备的操作培训，使相关使用人员能够正常操作相关设备。</w:t>
      </w:r>
    </w:p>
    <w:p>
      <w:pPr>
        <w:pStyle w:val="3"/>
        <w:adjustRightInd w:val="0"/>
        <w:snapToGrid w:val="0"/>
        <w:spacing w:line="400" w:lineRule="exact"/>
        <w:ind w:left="560" w:firstLine="482" w:firstLineChars="200"/>
        <w:jc w:val="left"/>
        <w:rPr>
          <w:rFonts w:ascii="方正仿宋_GBK" w:hAnsi="方正仿宋_GBK" w:eastAsia="方正仿宋_GBK" w:cs="方正仿宋_GBK"/>
          <w:sz w:val="24"/>
        </w:rPr>
      </w:pPr>
      <w:bookmarkStart w:id="95" w:name="_Toc18104"/>
      <w:bookmarkStart w:id="96" w:name="_Toc19427"/>
      <w:bookmarkStart w:id="97" w:name="_Toc31910"/>
      <w:bookmarkStart w:id="98" w:name="_Toc108013105"/>
      <w:bookmarkStart w:id="99" w:name="_Toc25707"/>
      <w:bookmarkStart w:id="100" w:name="_Toc947"/>
      <w:bookmarkStart w:id="101" w:name="_Toc2954"/>
      <w:bookmarkStart w:id="102" w:name="_Toc466546918"/>
      <w:bookmarkStart w:id="103" w:name="_Toc31659"/>
      <w:bookmarkStart w:id="104" w:name="_Toc106034788"/>
      <w:bookmarkStart w:id="105" w:name="_Toc21248"/>
      <w:bookmarkStart w:id="106" w:name="_Toc23902"/>
      <w:bookmarkStart w:id="107" w:name="_Toc65660348"/>
      <w:r>
        <w:rPr>
          <w:rFonts w:hint="eastAsia" w:ascii="方正仿宋_GBK" w:hAnsi="方正仿宋_GBK" w:eastAsia="方正仿宋_GBK" w:cs="方正仿宋_GBK"/>
          <w:sz w:val="24"/>
        </w:rPr>
        <w:t>七、项目风险管控</w:t>
      </w:r>
      <w:bookmarkEnd w:id="95"/>
      <w:bookmarkEnd w:id="96"/>
      <w:bookmarkEnd w:id="97"/>
      <w:bookmarkEnd w:id="98"/>
      <w:bookmarkEnd w:id="99"/>
      <w:bookmarkEnd w:id="100"/>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本项目采购过程和合同履行过程中，如遇国家政策变化、实施环境变化、重大技术变化、预算项目调整等情况，按下列方式处置：</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1.处于采购过程中的，如果相关变化将导致采购任务取消的，应当按照《中华人民共和国政府采购法》第三十六条规定，取消采购任务，作废标处理；</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2.采购已经完成，尚未签订合同的，如果相关变化导致不能实现合同目的，按不可抗力事件处理，取消采购任务，采购人与供应商不再签订合同；</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bookmarkStart w:id="108" w:name="_Toc6830"/>
      <w:r>
        <w:rPr>
          <w:rFonts w:hint="eastAsia" w:ascii="方正仿宋_GBK" w:hAnsi="方正仿宋_GBK" w:eastAsia="方正仿宋_GBK" w:cs="方正仿宋_GBK"/>
          <w:sz w:val="24"/>
          <w:szCs w:val="24"/>
        </w:rPr>
        <w:t>3.合同已签订的，如果相关变化导致不能实现合同目的或合同价款等实质性条款变化，针对变化部分按不可抗力事件处理，采购人与供应商协商后解除合同或签订补充协议。</w:t>
      </w:r>
      <w:bookmarkEnd w:id="101"/>
      <w:bookmarkEnd w:id="102"/>
      <w:bookmarkEnd w:id="108"/>
    </w:p>
    <w:p>
      <w:pPr>
        <w:pStyle w:val="3"/>
        <w:adjustRightInd w:val="0"/>
        <w:snapToGrid w:val="0"/>
        <w:spacing w:line="400" w:lineRule="exact"/>
        <w:ind w:left="560" w:firstLine="482" w:firstLineChars="200"/>
        <w:rPr>
          <w:rFonts w:ascii="方正仿宋_GBK" w:hAnsi="方正仿宋_GBK" w:eastAsia="方正仿宋_GBK" w:cs="方正仿宋_GBK"/>
          <w:sz w:val="24"/>
        </w:rPr>
      </w:pPr>
      <w:r>
        <w:rPr>
          <w:rFonts w:hint="eastAsia" w:ascii="方正仿宋_GBK" w:eastAsia="方正仿宋_GBK"/>
          <w:sz w:val="24"/>
        </w:rPr>
        <w:t>八、</w:t>
      </w:r>
      <w:r>
        <w:rPr>
          <w:rFonts w:hint="eastAsia" w:ascii="方正仿宋_GBK" w:hAnsi="方正仿宋_GBK" w:eastAsia="方正仿宋_GBK" w:cs="方正仿宋_GBK"/>
          <w:sz w:val="24"/>
        </w:rPr>
        <w:t>违约责任</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就当事人一方不履行合同义务或者履行合同义务不符合约定应当承担的责任进行约定。</w:t>
      </w:r>
    </w:p>
    <w:p>
      <w:pPr>
        <w:pStyle w:val="3"/>
        <w:adjustRightInd w:val="0"/>
        <w:snapToGrid w:val="0"/>
        <w:spacing w:line="400" w:lineRule="exact"/>
        <w:ind w:left="560" w:firstLine="482" w:firstLineChars="200"/>
        <w:rPr>
          <w:rFonts w:ascii="方正仿宋_GBK" w:eastAsia="方正仿宋_GBK"/>
          <w:sz w:val="24"/>
        </w:rPr>
      </w:pPr>
      <w:r>
        <w:rPr>
          <w:rFonts w:hint="eastAsia" w:ascii="方正仿宋_GBK" w:eastAsia="方正仿宋_GBK"/>
          <w:sz w:val="24"/>
        </w:rPr>
        <w:t>九、合同争议</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项目执行中，如发生争议由双方协商解决，协商不成向甲方所在地具有管辖权人民法院提请诉讼。</w:t>
      </w:r>
    </w:p>
    <w:p>
      <w:pPr>
        <w:pStyle w:val="3"/>
        <w:adjustRightInd w:val="0"/>
        <w:snapToGrid w:val="0"/>
        <w:spacing w:line="400" w:lineRule="exact"/>
        <w:ind w:left="560" w:firstLine="482" w:firstLineChars="200"/>
        <w:rPr>
          <w:rFonts w:ascii="方正仿宋_GBK" w:eastAsia="方正仿宋_GBK"/>
          <w:sz w:val="24"/>
        </w:rPr>
      </w:pPr>
      <w:r>
        <w:rPr>
          <w:rFonts w:hint="eastAsia" w:ascii="方正仿宋_GBK" w:eastAsia="方正仿宋_GBK"/>
          <w:sz w:val="24"/>
        </w:rPr>
        <w:t>十、其他</w:t>
      </w:r>
      <w:bookmarkEnd w:id="103"/>
      <w:bookmarkEnd w:id="104"/>
      <w:bookmarkEnd w:id="105"/>
      <w:bookmarkEnd w:id="106"/>
      <w:bookmarkEnd w:id="107"/>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其他未尽事宜由供需双方在采购合同中详细约定。</w:t>
      </w:r>
    </w:p>
    <w:p>
      <w:pPr>
        <w:snapToGrid w:val="0"/>
        <w:spacing w:line="400" w:lineRule="exact"/>
        <w:ind w:firstLine="540"/>
        <w:rPr>
          <w:rFonts w:ascii="方正仿宋_GBK" w:eastAsia="方正仿宋_GBK"/>
          <w:sz w:val="24"/>
          <w:szCs w:val="24"/>
        </w:rPr>
      </w:pPr>
    </w:p>
    <w:p>
      <w:pPr>
        <w:snapToGrid w:val="0"/>
        <w:spacing w:line="400" w:lineRule="exact"/>
        <w:ind w:firstLine="540"/>
        <w:rPr>
          <w:rFonts w:ascii="方正仿宋_GBK" w:eastAsia="方正仿宋_GBK"/>
          <w:sz w:val="24"/>
          <w:szCs w:val="24"/>
        </w:rPr>
      </w:pPr>
    </w:p>
    <w:p>
      <w:pPr>
        <w:pStyle w:val="3"/>
        <w:spacing w:line="360" w:lineRule="auto"/>
        <w:ind w:left="560"/>
        <w:jc w:val="center"/>
        <w:rPr>
          <w:rFonts w:ascii="方正小标宋_GBK" w:eastAsia="方正小标宋_GBK"/>
          <w:b w:val="0"/>
          <w:sz w:val="36"/>
          <w:szCs w:val="30"/>
        </w:rPr>
      </w:pPr>
      <w:r>
        <w:rPr>
          <w:rFonts w:ascii="方正小标宋_GBK" w:eastAsia="方正小标宋_GBK"/>
          <w:b w:val="0"/>
          <w:sz w:val="36"/>
          <w:szCs w:val="30"/>
        </w:rPr>
        <w:br w:type="page"/>
      </w:r>
      <w:bookmarkStart w:id="109" w:name="_Toc106034789"/>
      <w:bookmarkStart w:id="110" w:name="_Toc24195"/>
      <w:bookmarkStart w:id="111" w:name="_Toc16123"/>
      <w:bookmarkStart w:id="112" w:name="_Toc65660349"/>
      <w:bookmarkStart w:id="113" w:name="_Toc31282"/>
      <w:r>
        <w:rPr>
          <w:rFonts w:hint="eastAsia" w:ascii="方正小标宋_GBK" w:eastAsia="方正小标宋_GBK"/>
          <w:b w:val="0"/>
          <w:sz w:val="36"/>
          <w:szCs w:val="30"/>
        </w:rPr>
        <w:t xml:space="preserve">第四篇 </w:t>
      </w:r>
      <w:r>
        <w:rPr>
          <w:rFonts w:hint="eastAsia" w:ascii="方正小标宋_GBK" w:eastAsia="方正小标宋_GBK"/>
          <w:b w:val="0"/>
          <w:w w:val="90"/>
          <w:sz w:val="36"/>
          <w:szCs w:val="30"/>
        </w:rPr>
        <w:t>采购程序、评定成交的标准、无效报价及采购终止</w:t>
      </w:r>
      <w:bookmarkEnd w:id="109"/>
      <w:bookmarkEnd w:id="110"/>
      <w:bookmarkEnd w:id="111"/>
      <w:bookmarkEnd w:id="112"/>
      <w:bookmarkEnd w:id="113"/>
    </w:p>
    <w:p>
      <w:pPr>
        <w:pStyle w:val="3"/>
        <w:adjustRightInd w:val="0"/>
        <w:snapToGrid w:val="0"/>
        <w:spacing w:line="400" w:lineRule="exact"/>
        <w:ind w:left="560" w:firstLine="482" w:firstLineChars="200"/>
        <w:rPr>
          <w:rFonts w:ascii="方正仿宋_GBK" w:eastAsia="方正仿宋_GBK"/>
          <w:sz w:val="24"/>
        </w:rPr>
      </w:pPr>
      <w:bookmarkStart w:id="114" w:name="_Toc64732012"/>
      <w:bookmarkStart w:id="115" w:name="_Toc9361"/>
      <w:bookmarkStart w:id="116" w:name="_Toc5167"/>
      <w:bookmarkStart w:id="117" w:name="_Toc106034790"/>
      <w:bookmarkStart w:id="118" w:name="_Toc65660350"/>
      <w:bookmarkStart w:id="119" w:name="_Toc27932"/>
      <w:r>
        <w:rPr>
          <w:rFonts w:hint="eastAsia" w:ascii="方正仿宋_GBK" w:eastAsia="方正仿宋_GBK"/>
          <w:sz w:val="24"/>
        </w:rPr>
        <w:t>一、采购程序</w:t>
      </w:r>
      <w:bookmarkEnd w:id="114"/>
      <w:bookmarkEnd w:id="115"/>
      <w:bookmarkEnd w:id="116"/>
      <w:bookmarkEnd w:id="117"/>
      <w:bookmarkEnd w:id="118"/>
      <w:bookmarkEnd w:id="119"/>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（一）比价按采购文件规定的时间和地点进行。供应商须有法定代表人（或其授权代表）或自然人参加并签到。</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（二）由本项目评审小组对各供应商的资格条件、实质性响应等进行审查。 </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1.资格性审查。依据法律法规和采购文件的规定，对响应文件中的资格证明材料等进行审查。资格性审查内容如下：</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jc w:val="center"/>
              <w:rPr>
                <w:rFonts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5267" w:type="dxa"/>
            <w:vAlign w:val="center"/>
          </w:tcPr>
          <w:p>
            <w:pPr>
              <w:rPr>
                <w:rFonts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pPr>
              <w:rPr>
                <w:rFonts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5267" w:type="dxa"/>
            <w:vMerge w:val="restart"/>
            <w:vAlign w:val="center"/>
          </w:tcPr>
          <w:p>
            <w:pPr>
              <w:rPr>
                <w:rFonts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5267" w:type="dxa"/>
            <w:vMerge w:val="continue"/>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5267" w:type="dxa"/>
            <w:vMerge w:val="continue"/>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5267" w:type="dxa"/>
            <w:vMerge w:val="continue"/>
            <w:vAlign w:val="center"/>
          </w:tcPr>
          <w:p>
            <w:pPr>
              <w:rPr>
                <w:rFonts w:ascii="方正仿宋_GBK" w:hAnsi="仿宋" w:eastAsia="方正仿宋_GBK"/>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jc w:val="cente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5267" w:type="dxa"/>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jc w:val="cente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5267" w:type="dxa"/>
            <w:vAlign w:val="center"/>
          </w:tcPr>
          <w:p>
            <w:pPr>
              <w:rPr>
                <w:rFonts w:ascii="方正仿宋_GBK" w:hAnsi="仿宋" w:eastAsia="方正仿宋_GBK"/>
                <w:sz w:val="21"/>
                <w:szCs w:val="21"/>
              </w:rPr>
            </w:pPr>
            <w:r>
              <w:rPr>
                <w:rFonts w:hint="eastAsia" w:ascii="方正仿宋_GBK" w:hAnsi="仿宋" w:eastAsia="方正仿宋_GBK"/>
                <w:sz w:val="21"/>
                <w:szCs w:val="21"/>
              </w:rPr>
              <w:t>按“第一篇三、供应商资格要求（二）本项目的特定资格要求”的要求提交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bl>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以联合体形式参与比价的，共同联合协议中应确定主办方（主体），</w:t>
      </w:r>
      <w:r>
        <w:rPr>
          <w:rFonts w:hint="eastAsia" w:ascii="方正仿宋_GBK" w:hAnsi="宋体" w:eastAsia="方正仿宋_GBK"/>
          <w:sz w:val="24"/>
        </w:rPr>
        <w:t>代表联合体进行报价和澄清。</w:t>
      </w:r>
      <w:r>
        <w:rPr>
          <w:rFonts w:hint="eastAsia" w:ascii="方正仿宋_GBK" w:hAnsi="宋体" w:eastAsia="方正仿宋_GBK" w:cs="宋体"/>
          <w:kern w:val="0"/>
          <w:sz w:val="24"/>
          <w:szCs w:val="24"/>
        </w:rPr>
        <w:t>联合体各方均应满足供应商资格要求（详见“第一篇”）。</w:t>
      </w:r>
    </w:p>
    <w:p>
      <w:pPr>
        <w:snapToGrid w:val="0"/>
        <w:spacing w:line="400" w:lineRule="exact"/>
        <w:ind w:firstLine="480" w:firstLineChars="200"/>
        <w:rPr>
          <w:rFonts w:ascii="方正仿宋_GBK" w:eastAsia="方正仿宋_GBK"/>
          <w:kern w:val="0"/>
          <w:sz w:val="24"/>
          <w:szCs w:val="24"/>
        </w:rPr>
      </w:pPr>
      <w:r>
        <w:rPr>
          <w:rFonts w:hint="eastAsia" w:ascii="方正仿宋_GBK" w:hAnsi="宋体" w:eastAsia="方正仿宋_GBK"/>
          <w:sz w:val="24"/>
          <w:szCs w:val="24"/>
        </w:rPr>
        <w:t>2.实质性响应审查。评审小组应当对响应文件进行评审，并根据采购文件规定的采购程序、评定成交的标准等事项与实质性响应采购文件要求的供应商进行评审。未实质性响应采购文件的响应文件按无效处理，评审小组应当告知有关供应商。实质性响应审查内容如下：</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2694" w:type="dxa"/>
            <w:vAlign w:val="center"/>
          </w:tcPr>
          <w:p>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审查因素</w:t>
            </w:r>
          </w:p>
        </w:tc>
        <w:tc>
          <w:tcPr>
            <w:tcW w:w="6259" w:type="dxa"/>
            <w:vAlign w:val="center"/>
          </w:tcPr>
          <w:p>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jc w:val="cente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6259" w:type="dxa"/>
            <w:vAlign w:val="center"/>
          </w:tcPr>
          <w:p>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法定代表人身份证明及授权委托书有效，符合采购文件规定的格式，签署或盖章齐全。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jc w:val="cente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pPr>
              <w:jc w:val="cente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份数</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数量符合采购文件要求。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6259" w:type="dxa"/>
            <w:vAlign w:val="center"/>
          </w:tcPr>
          <w:p>
            <w:pPr>
              <w:pStyle w:val="7"/>
              <w:rPr>
                <w:rFonts w:ascii="方正仿宋_GBK" w:hAnsi="宋体" w:eastAsia="方正仿宋_GBK" w:cs="宋体"/>
                <w:kern w:val="0"/>
                <w:sz w:val="21"/>
                <w:szCs w:val="21"/>
              </w:rPr>
            </w:pPr>
            <w:r>
              <w:rPr>
                <w:rFonts w:hint="eastAsia" w:ascii="方正仿宋_GBK" w:hAnsi="宋体" w:eastAsia="方正仿宋_GBK" w:cs="宋体"/>
                <w:kern w:val="0"/>
                <w:sz w:val="21"/>
                <w:szCs w:val="21"/>
              </w:rPr>
              <w:t>对</w:t>
            </w:r>
            <w:r>
              <w:rPr>
                <w:rFonts w:hint="eastAsia" w:ascii="方正仿宋_GBK" w:hAnsi="宋体" w:eastAsia="方正仿宋_GBK" w:cs="仿宋_GB2312"/>
                <w:sz w:val="21"/>
                <w:szCs w:val="21"/>
                <w:lang w:val="zh-CN"/>
              </w:rPr>
              <w:t>采购文件</w:t>
            </w:r>
            <w:r>
              <w:rPr>
                <w:rFonts w:hint="eastAsia" w:ascii="方正仿宋_GBK" w:hAnsi="宋体" w:eastAsia="方正仿宋_GBK" w:cs="宋体"/>
                <w:kern w:val="0"/>
                <w:sz w:val="21"/>
                <w:szCs w:val="21"/>
              </w:rPr>
              <w:t>第二篇、第三篇规定的内容进行实质性响应。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pPr>
              <w:jc w:val="cente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比价有效期</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（四）评审的依据为采购文件和响应文件（含有效的补充文件）。评审小组判断响应文件对采购文件的响应，仅基于响应文件本身而不靠外部证据。</w:t>
      </w:r>
    </w:p>
    <w:p>
      <w:pPr>
        <w:pStyle w:val="3"/>
        <w:adjustRightInd w:val="0"/>
        <w:snapToGrid w:val="0"/>
        <w:spacing w:line="400" w:lineRule="exact"/>
        <w:ind w:left="560" w:firstLine="482" w:firstLineChars="200"/>
        <w:rPr>
          <w:rFonts w:ascii="方正仿宋_GBK" w:eastAsia="方正仿宋_GBK"/>
          <w:sz w:val="24"/>
        </w:rPr>
      </w:pPr>
      <w:bookmarkStart w:id="120" w:name="_Toc11713"/>
      <w:bookmarkStart w:id="121" w:name="_Toc106034791"/>
      <w:bookmarkStart w:id="122" w:name="_Toc64732013"/>
      <w:bookmarkStart w:id="123" w:name="_Toc30639"/>
      <w:bookmarkStart w:id="124" w:name="_Toc65660351"/>
      <w:bookmarkStart w:id="125" w:name="_Toc5149"/>
      <w:r>
        <w:rPr>
          <w:rFonts w:hint="eastAsia" w:ascii="方正仿宋_GBK" w:eastAsia="方正仿宋_GBK"/>
          <w:sz w:val="24"/>
        </w:rPr>
        <w:t>二、评定成交的标准</w:t>
      </w:r>
      <w:bookmarkEnd w:id="120"/>
      <w:bookmarkEnd w:id="121"/>
      <w:bookmarkEnd w:id="122"/>
      <w:bookmarkEnd w:id="123"/>
      <w:bookmarkEnd w:id="124"/>
      <w:bookmarkEnd w:id="125"/>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评审小组将依照本采购文件相关规定对技术（质量）和服务均能满足实质性响应要求的供应商所提交的报价按照由低到高的顺序提出3名以上成交候选人，并编写结论意见（原则上由报价最低的供应商为成交供应商）。</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（二）若供应商的报价价格相同，按现场随机抽取的方式确定顺序排列。</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（三）成交价格=成交供应商的报价。</w:t>
      </w:r>
    </w:p>
    <w:p>
      <w:pPr>
        <w:pStyle w:val="3"/>
        <w:adjustRightInd w:val="0"/>
        <w:snapToGrid w:val="0"/>
        <w:spacing w:line="400" w:lineRule="exact"/>
        <w:ind w:left="560" w:firstLine="482" w:firstLineChars="200"/>
        <w:rPr>
          <w:rFonts w:ascii="方正仿宋_GBK" w:eastAsia="方正仿宋_GBK"/>
          <w:sz w:val="24"/>
        </w:rPr>
      </w:pPr>
      <w:bookmarkStart w:id="126" w:name="_Toc65660352"/>
      <w:bookmarkStart w:id="127" w:name="_Toc29113"/>
      <w:bookmarkStart w:id="128" w:name="_Toc12644"/>
      <w:bookmarkStart w:id="129" w:name="_Toc19473"/>
      <w:bookmarkStart w:id="130" w:name="_Toc106034792"/>
      <w:r>
        <w:rPr>
          <w:rFonts w:hint="eastAsia" w:ascii="方正仿宋_GBK" w:eastAsia="方正仿宋_GBK"/>
          <w:sz w:val="24"/>
        </w:rPr>
        <w:t>三、无效</w:t>
      </w:r>
      <w:bookmarkEnd w:id="126"/>
      <w:bookmarkEnd w:id="127"/>
      <w:bookmarkEnd w:id="128"/>
      <w:r>
        <w:rPr>
          <w:rFonts w:hint="eastAsia" w:ascii="方正仿宋_GBK" w:eastAsia="方正仿宋_GBK"/>
          <w:sz w:val="24"/>
        </w:rPr>
        <w:t>报价</w:t>
      </w:r>
      <w:bookmarkEnd w:id="129"/>
      <w:bookmarkEnd w:id="130"/>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供应商发生以下条款情况之一者，视为无效报价：</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（一）供应商不符合规定的资格条件的；</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（二）供应商未通过实质性响应审查的；</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（三）供应商的法定代表人（或其授权代表）或自然人未参加谈判的；</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（四）供应商所提交的响应文件未按“第七篇响应文件格式要求”要求签署或盖章的；</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（五）供应商的报价超过采购预算或最高限价的；</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（六）供应商不接受评审小组修正后的价格的；</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（七）单位负责人为同一人或者存在直接控股、管理关系的不同供应商，</w:t>
      </w:r>
      <w:r>
        <w:rPr>
          <w:rFonts w:ascii="方正仿宋_GBK" w:hAnsi="宋体" w:eastAsia="方正仿宋_GBK"/>
          <w:sz w:val="24"/>
          <w:szCs w:val="24"/>
        </w:rPr>
        <w:t>参加同一合同项</w:t>
      </w:r>
      <w:r>
        <w:rPr>
          <w:rFonts w:hint="eastAsia" w:ascii="方正仿宋_GBK" w:hAnsi="宋体" w:eastAsia="方正仿宋_GBK"/>
          <w:sz w:val="24"/>
          <w:szCs w:val="24"/>
        </w:rPr>
        <w:t>（包）报价的；</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（八）为采购项目提供整体设计、规范编制或者项目管理、监理、检测等服务的供应商再参加该采购项目的其他采购活动的；</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（九）同一</w:t>
      </w:r>
      <w:r>
        <w:rPr>
          <w:rFonts w:ascii="方正仿宋_GBK" w:hAnsi="宋体" w:eastAsia="方正仿宋_GBK"/>
          <w:sz w:val="24"/>
          <w:szCs w:val="24"/>
        </w:rPr>
        <w:t>合同项</w:t>
      </w:r>
      <w:r>
        <w:rPr>
          <w:rFonts w:hint="eastAsia" w:ascii="方正仿宋_GBK" w:hAnsi="宋体" w:eastAsia="方正仿宋_GBK"/>
          <w:sz w:val="24"/>
          <w:szCs w:val="24"/>
        </w:rPr>
        <w:t>（包）</w:t>
      </w:r>
      <w:r>
        <w:rPr>
          <w:rFonts w:ascii="方正仿宋_GBK" w:hAnsi="宋体" w:eastAsia="方正仿宋_GBK"/>
          <w:sz w:val="24"/>
          <w:szCs w:val="24"/>
        </w:rPr>
        <w:t>下</w:t>
      </w:r>
      <w:r>
        <w:rPr>
          <w:rFonts w:hint="eastAsia" w:ascii="方正仿宋_GBK" w:hAnsi="宋体" w:eastAsia="方正仿宋_GBK"/>
          <w:sz w:val="24"/>
          <w:szCs w:val="24"/>
        </w:rPr>
        <w:t>的货物，制造商参与报价，再委托代理商参与报价的；</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（十）供应商响应文件内容有与国家现行法律法规相违背的内容，或附有采购人无法接受条件的；</w:t>
      </w:r>
    </w:p>
    <w:p>
      <w:pPr>
        <w:pStyle w:val="8"/>
        <w:spacing w:line="400" w:lineRule="exact"/>
        <w:rPr>
          <w:rFonts w:ascii="方正仿宋_GBK" w:hAnsi="宋体" w:eastAsia="方正仿宋_GBK"/>
          <w:sz w:val="24"/>
          <w:szCs w:val="24"/>
        </w:rPr>
      </w:pPr>
      <w:r>
        <w:rPr>
          <w:rFonts w:hint="eastAsia" w:ascii="方正仿宋_GBK" w:hAnsi="宋体" w:eastAsia="方正仿宋_GBK"/>
          <w:sz w:val="24"/>
          <w:szCs w:val="24"/>
        </w:rPr>
        <w:t>（十一）法律、法规和采购文件规定的其他无效情形。</w:t>
      </w:r>
    </w:p>
    <w:p>
      <w:pPr>
        <w:pStyle w:val="3"/>
        <w:adjustRightInd w:val="0"/>
        <w:snapToGrid w:val="0"/>
        <w:spacing w:line="400" w:lineRule="exact"/>
        <w:ind w:left="560" w:firstLine="482" w:firstLineChars="200"/>
        <w:rPr>
          <w:rFonts w:ascii="方正仿宋_GBK" w:eastAsia="方正仿宋_GBK"/>
          <w:sz w:val="24"/>
        </w:rPr>
      </w:pPr>
      <w:bookmarkStart w:id="131" w:name="_Toc28422"/>
      <w:bookmarkStart w:id="132" w:name="_Toc106034793"/>
      <w:bookmarkStart w:id="133" w:name="_Toc65660353"/>
      <w:bookmarkStart w:id="134" w:name="_Toc29298"/>
      <w:bookmarkStart w:id="135" w:name="_Toc22716"/>
      <w:r>
        <w:rPr>
          <w:rFonts w:hint="eastAsia" w:ascii="方正仿宋_GBK" w:eastAsia="方正仿宋_GBK"/>
          <w:sz w:val="24"/>
        </w:rPr>
        <w:t>四、采购终止</w:t>
      </w:r>
      <w:bookmarkEnd w:id="131"/>
      <w:bookmarkEnd w:id="132"/>
      <w:bookmarkEnd w:id="133"/>
      <w:bookmarkEnd w:id="134"/>
      <w:bookmarkEnd w:id="135"/>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出现下列情形之一的，采购人或者采购代理机构应当终止限额以下比价采购活动，发布项目终止公告并说明原因，重新开展采购活动：</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（一）因情况变化，不再符合规定的限额以下比价采购方式适用情形的；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pPr>
        <w:spacing w:line="520" w:lineRule="exact"/>
        <w:ind w:firstLine="480" w:firstLineChars="200"/>
        <w:rPr>
          <w:rFonts w:ascii="方正仿宋_GBK" w:hAnsi="宋体" w:eastAsia="方正仿宋_GBK"/>
          <w:szCs w:val="28"/>
        </w:rPr>
      </w:pPr>
      <w:r>
        <w:rPr>
          <w:rFonts w:hint="eastAsia" w:ascii="方正仿宋_GBK" w:hAnsi="宋体" w:eastAsia="方正仿宋_GBK"/>
          <w:sz w:val="24"/>
          <w:szCs w:val="24"/>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pPr>
        <w:snapToGrid w:val="0"/>
        <w:spacing w:line="400" w:lineRule="exact"/>
        <w:ind w:firstLine="480" w:firstLineChars="200"/>
        <w:rPr>
          <w:rFonts w:ascii="方正仿宋_GBK" w:hAnsi="宋体" w:eastAsia="方正仿宋_GBK"/>
          <w:sz w:val="24"/>
          <w:szCs w:val="24"/>
        </w:rPr>
      </w:pPr>
    </w:p>
    <w:p>
      <w:pPr>
        <w:pStyle w:val="3"/>
        <w:spacing w:line="360" w:lineRule="auto"/>
        <w:ind w:left="560"/>
        <w:jc w:val="center"/>
        <w:rPr>
          <w:rFonts w:ascii="方正小标宋_GBK" w:eastAsia="方正小标宋_GBK"/>
          <w:b w:val="0"/>
          <w:sz w:val="36"/>
          <w:szCs w:val="30"/>
        </w:rPr>
      </w:pPr>
      <w:r>
        <w:rPr>
          <w:rFonts w:ascii="方正仿宋_GBK" w:eastAsia="方正仿宋_GBK"/>
          <w:sz w:val="24"/>
          <w:szCs w:val="24"/>
        </w:rPr>
        <w:br w:type="page"/>
      </w:r>
      <w:bookmarkStart w:id="136" w:name="_Toc8916"/>
      <w:bookmarkStart w:id="137" w:name="_Toc10768"/>
      <w:bookmarkStart w:id="138" w:name="_Toc106034794"/>
      <w:bookmarkStart w:id="139" w:name="_Toc20055"/>
      <w:bookmarkStart w:id="140" w:name="_Toc65660354"/>
      <w:r>
        <w:rPr>
          <w:rFonts w:hint="eastAsia" w:ascii="方正小标宋_GBK" w:eastAsia="方正小标宋_GBK"/>
          <w:b w:val="0"/>
          <w:sz w:val="36"/>
          <w:szCs w:val="30"/>
        </w:rPr>
        <w:t>第五篇  供应商须知</w:t>
      </w:r>
      <w:bookmarkEnd w:id="136"/>
      <w:bookmarkEnd w:id="137"/>
      <w:bookmarkEnd w:id="138"/>
      <w:bookmarkEnd w:id="139"/>
      <w:bookmarkEnd w:id="140"/>
    </w:p>
    <w:p>
      <w:pPr>
        <w:pStyle w:val="3"/>
        <w:adjustRightInd w:val="0"/>
        <w:snapToGrid w:val="0"/>
        <w:spacing w:line="400" w:lineRule="exact"/>
        <w:ind w:left="560" w:firstLine="482" w:firstLineChars="200"/>
        <w:rPr>
          <w:rFonts w:ascii="方正仿宋_GBK" w:eastAsia="方正仿宋_GBK"/>
          <w:sz w:val="24"/>
        </w:rPr>
      </w:pPr>
      <w:bookmarkStart w:id="141" w:name="_Toc5290"/>
      <w:bookmarkStart w:id="142" w:name="_Toc2864"/>
      <w:bookmarkStart w:id="143" w:name="_Toc16524"/>
      <w:bookmarkStart w:id="144" w:name="_Toc106034795"/>
      <w:bookmarkStart w:id="145" w:name="_Toc65660355"/>
      <w:r>
        <w:rPr>
          <w:rFonts w:hint="eastAsia" w:ascii="方正仿宋_GBK" w:eastAsia="方正仿宋_GBK"/>
          <w:sz w:val="24"/>
        </w:rPr>
        <w:t>一、限额以下比价费用</w:t>
      </w:r>
      <w:bookmarkEnd w:id="141"/>
      <w:bookmarkEnd w:id="142"/>
      <w:bookmarkEnd w:id="143"/>
      <w:bookmarkEnd w:id="144"/>
      <w:bookmarkEnd w:id="145"/>
    </w:p>
    <w:p>
      <w:pPr>
        <w:pStyle w:val="21"/>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参与报价的供应商应承担其编制响应文件与递交响应文件所涉及的一切费用，不论比价结果如何，采购人和采购代理机构在任何情况下无义务也无责任承担这些费用。</w:t>
      </w:r>
    </w:p>
    <w:p>
      <w:pPr>
        <w:pStyle w:val="3"/>
        <w:adjustRightInd w:val="0"/>
        <w:snapToGrid w:val="0"/>
        <w:spacing w:line="400" w:lineRule="exact"/>
        <w:ind w:left="560" w:firstLine="482" w:firstLineChars="200"/>
        <w:rPr>
          <w:rFonts w:ascii="方正仿宋_GBK" w:eastAsia="方正仿宋_GBK"/>
          <w:sz w:val="24"/>
        </w:rPr>
      </w:pPr>
      <w:bookmarkStart w:id="146" w:name="_Toc106034796"/>
      <w:bookmarkStart w:id="147" w:name="_Toc5915"/>
      <w:bookmarkStart w:id="148" w:name="_Toc31739"/>
      <w:bookmarkStart w:id="149" w:name="_Toc65660356"/>
      <w:bookmarkStart w:id="150" w:name="_Toc31070"/>
      <w:r>
        <w:rPr>
          <w:rFonts w:hint="eastAsia" w:ascii="方正仿宋_GBK" w:eastAsia="方正仿宋_GBK"/>
          <w:sz w:val="24"/>
        </w:rPr>
        <w:t>二、限额以下比价</w:t>
      </w:r>
      <w:bookmarkEnd w:id="146"/>
      <w:bookmarkEnd w:id="147"/>
      <w:bookmarkEnd w:id="148"/>
      <w:bookmarkEnd w:id="149"/>
      <w:bookmarkEnd w:id="150"/>
      <w:r>
        <w:rPr>
          <w:rFonts w:hint="eastAsia" w:ascii="方正仿宋_GBK" w:eastAsia="方正仿宋_GBK"/>
          <w:sz w:val="24"/>
        </w:rPr>
        <w:t>采购文件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（一）采购文件由限额以下比价邀请书、项目技术（质量）需求、项目商务需求、采购程序、评定成交的标准、无效报价及采购终止、供应商须知、合同草案条款、响应文件格式要求七部分组成。</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（二）采购人（或采购代理机构）所作的一切有效的书面通知、修改及补充，都是采购文件不可分割的部分。</w:t>
      </w:r>
    </w:p>
    <w:p>
      <w:pPr>
        <w:pStyle w:val="3"/>
        <w:adjustRightInd w:val="0"/>
        <w:snapToGrid w:val="0"/>
        <w:spacing w:line="400" w:lineRule="exact"/>
        <w:ind w:left="560" w:firstLine="482" w:firstLineChars="200"/>
        <w:rPr>
          <w:rFonts w:ascii="方正仿宋_GBK" w:eastAsia="方正仿宋_GBK"/>
          <w:sz w:val="24"/>
        </w:rPr>
      </w:pPr>
      <w:bookmarkStart w:id="151" w:name="_Toc9532"/>
      <w:bookmarkStart w:id="152" w:name="_Toc3061"/>
      <w:bookmarkStart w:id="153" w:name="_Toc1922"/>
      <w:bookmarkStart w:id="154" w:name="_Toc106034797"/>
      <w:bookmarkStart w:id="155" w:name="_Toc65660357"/>
      <w:r>
        <w:rPr>
          <w:rFonts w:hint="eastAsia" w:ascii="方正仿宋_GBK" w:eastAsia="方正仿宋_GBK"/>
          <w:sz w:val="24"/>
        </w:rPr>
        <w:t>三、报价要求</w:t>
      </w:r>
      <w:bookmarkEnd w:id="151"/>
      <w:bookmarkEnd w:id="152"/>
      <w:bookmarkEnd w:id="153"/>
      <w:bookmarkEnd w:id="154"/>
      <w:bookmarkEnd w:id="155"/>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（一）响应文件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供应商应当按照采购文件的要求编制响应文件，并对采购文件提出的要求和条件作出实质性响应，响应文件原则上应装订成册提交。</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1.响应文件组成</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2.报价有效期：响应文件及有关承诺文件有效期为提交响应文件截止时间起90天。</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（二）修正错误</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若供应商所递交的响应文件或报价中的价格出现大写金额和小写金额不一致的错误，以大写金额修正为准。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评审小组或采购人按上述修正错误的原则及方法修正供应商的报价，供应商同意并签署确认后，修正后的报价对供应商具有约束作用。如果供应商不接受修正后的价格，将视为无效报价。</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（三）提交响应文件的份数和签署</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1.响应文件一份。</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2.</w:t>
      </w:r>
      <w:r>
        <w:rPr>
          <w:rFonts w:hint="eastAsia" w:ascii="方正仿宋_GBK" w:hAnsi="宋体" w:eastAsia="方正仿宋_GBK"/>
          <w:sz w:val="24"/>
        </w:rPr>
        <w:t>在响应文件中，采购文件第七篇响应文件格式中规定签署、盖章的地方必须按其规定签署、盖章。</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3.若供应商对响应文件的错处作必要修改，则应在修改处加盖供应商公章或由法定代表人（或其授权代表）或自然人</w:t>
      </w:r>
      <w:r>
        <w:rPr>
          <w:rFonts w:hint="eastAsia" w:ascii="方正仿宋_GBK" w:hAnsi="宋体" w:eastAsia="方正仿宋_GBK"/>
          <w:sz w:val="24"/>
          <w:szCs w:val="24"/>
        </w:rPr>
        <w:t>（供应商为自然人）签署</w:t>
      </w:r>
      <w:r>
        <w:rPr>
          <w:rFonts w:hint="eastAsia" w:ascii="方正仿宋_GBK" w:hAnsi="宋体" w:eastAsia="方正仿宋_GBK"/>
          <w:sz w:val="24"/>
        </w:rPr>
        <w:t>确认。</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4.电报、电话、传真形式的响应文件概不接受。</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（四）响应文件的递交</w:t>
      </w:r>
    </w:p>
    <w:p>
      <w:pPr>
        <w:pStyle w:val="6"/>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响应文件应密封送达报价地点，应在封套上注明采购项目名称、供应商名称。</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（五）响应文件语言：简体中文</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（六）供应商参与人员</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各供应商应当派1-2名代表参与报价，至少1人应为法定代表人（或其授权代表）或自然人（供应商为自然人）。</w:t>
      </w:r>
    </w:p>
    <w:p>
      <w:pPr>
        <w:pStyle w:val="3"/>
        <w:adjustRightInd w:val="0"/>
        <w:snapToGrid w:val="0"/>
        <w:spacing w:line="400" w:lineRule="exact"/>
        <w:ind w:left="560" w:firstLine="482" w:firstLineChars="200"/>
        <w:rPr>
          <w:rFonts w:ascii="方正仿宋_GBK" w:eastAsia="方正仿宋_GBK"/>
          <w:sz w:val="24"/>
        </w:rPr>
      </w:pPr>
      <w:bookmarkStart w:id="156" w:name="_Toc14702"/>
      <w:bookmarkStart w:id="157" w:name="_Toc65660358"/>
      <w:bookmarkStart w:id="158" w:name="_Toc10172"/>
      <w:bookmarkStart w:id="159" w:name="_Toc106034798"/>
      <w:bookmarkStart w:id="160" w:name="_Toc6242"/>
      <w:r>
        <w:rPr>
          <w:rFonts w:hint="eastAsia" w:ascii="方正仿宋_GBK" w:eastAsia="方正仿宋_GBK"/>
          <w:sz w:val="24"/>
        </w:rPr>
        <w:t>四、成交供应商的确定和变更</w:t>
      </w:r>
      <w:bookmarkEnd w:id="156"/>
      <w:bookmarkEnd w:id="157"/>
      <w:bookmarkEnd w:id="158"/>
      <w:bookmarkEnd w:id="159"/>
      <w:bookmarkEnd w:id="160"/>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采购结果应当在评审结束后5个工作日内发布。采购人根据质量和服务均能满足采购文件实质性响应要求且报价最低的原则确定成交供应商。采购人逾期未确定成交供应商且不提出异议的，视为确定评审结论提出的报价最低的供应商为成交供应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（二）成交供应商的变更</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成交供应商拒绝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pPr>
        <w:pStyle w:val="3"/>
        <w:adjustRightInd w:val="0"/>
        <w:snapToGrid w:val="0"/>
        <w:spacing w:line="400" w:lineRule="exact"/>
        <w:ind w:left="560" w:firstLine="482" w:firstLineChars="200"/>
        <w:rPr>
          <w:rFonts w:ascii="方正仿宋_GBK" w:eastAsia="方正仿宋_GBK"/>
          <w:sz w:val="24"/>
        </w:rPr>
      </w:pPr>
      <w:bookmarkStart w:id="161" w:name="_Toc29821"/>
      <w:bookmarkStart w:id="162" w:name="_Toc65660359"/>
      <w:bookmarkStart w:id="163" w:name="_Toc10504"/>
      <w:bookmarkStart w:id="164" w:name="_Toc1092"/>
      <w:bookmarkStart w:id="165" w:name="_Toc106034799"/>
      <w:r>
        <w:rPr>
          <w:rFonts w:hint="eastAsia" w:ascii="方正仿宋_GBK" w:eastAsia="方正仿宋_GBK"/>
          <w:sz w:val="24"/>
        </w:rPr>
        <w:t>五、成交通知</w:t>
      </w:r>
      <w:bookmarkEnd w:id="161"/>
      <w:bookmarkEnd w:id="162"/>
      <w:bookmarkEnd w:id="163"/>
      <w:bookmarkEnd w:id="164"/>
      <w:bookmarkEnd w:id="165"/>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（一）成交供应商确定后，采购代理机构将在重庆市交通局官网上发布成交结果公告。</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（二）成交结果公告将作为签订合同的依据。</w:t>
      </w:r>
    </w:p>
    <w:p>
      <w:pPr>
        <w:pStyle w:val="3"/>
        <w:adjustRightInd w:val="0"/>
        <w:snapToGrid w:val="0"/>
        <w:spacing w:line="400" w:lineRule="exact"/>
        <w:ind w:left="560" w:firstLine="482" w:firstLineChars="200"/>
        <w:rPr>
          <w:rFonts w:ascii="方正仿宋_GBK" w:eastAsia="方正仿宋_GBK"/>
          <w:sz w:val="24"/>
        </w:rPr>
      </w:pPr>
      <w:bookmarkStart w:id="166" w:name="_Toc106034800"/>
      <w:bookmarkStart w:id="167" w:name="_Toc30909"/>
      <w:bookmarkStart w:id="168" w:name="_Toc1010"/>
      <w:bookmarkStart w:id="169" w:name="_Toc65660360"/>
      <w:bookmarkStart w:id="170" w:name="_Toc31082"/>
      <w:r>
        <w:rPr>
          <w:rFonts w:hint="eastAsia" w:ascii="方正仿宋_GBK" w:eastAsia="方正仿宋_GBK"/>
          <w:sz w:val="24"/>
        </w:rPr>
        <w:t>六、关于质疑和投诉</w:t>
      </w:r>
      <w:bookmarkEnd w:id="166"/>
      <w:bookmarkEnd w:id="167"/>
      <w:bookmarkEnd w:id="168"/>
      <w:bookmarkEnd w:id="169"/>
      <w:bookmarkEnd w:id="170"/>
    </w:p>
    <w:p>
      <w:pPr>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 xml:space="preserve"> （一）质疑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供应商认为采购文件、采购过程和成交结果使自己的权益收到伤害的，可向采购人或采购代理机构以书面形式提出质疑。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 xml:space="preserve">提出质疑的应当是参与所质疑项目采购活动的供应商。 </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1.质疑时限、内容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1.1供应商认为采购文件、采购过程、成交结果使自己的权益受到损害的，可以在知道或者应知其权益受到损害之日起7个工作日内，以书面形式向采购人、采购代理机构提出质疑。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1.2供应商提出质疑应当提交质疑函和必要的证明材料，质疑函应当包括下列内容：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1.2.1供应商的姓名或者名称、地址、邮编、联系人及联系电话；</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1.2.2</w:t>
      </w:r>
      <w:r>
        <w:rPr>
          <w:rFonts w:hint="eastAsia" w:ascii="方正仿宋_GBK" w:hAnsi="宋体" w:eastAsia="方正仿宋_GBK"/>
          <w:sz w:val="24"/>
          <w:szCs w:val="24"/>
        </w:rPr>
        <w:t>质疑项目的项目名称</w:t>
      </w:r>
      <w:r>
        <w:rPr>
          <w:rFonts w:hint="eastAsia" w:ascii="方正仿宋_GBK" w:hAnsi="仿宋" w:eastAsia="方正仿宋_GBK" w:cs="仿宋"/>
          <w:sz w:val="24"/>
        </w:rPr>
        <w:t>；</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1.2.3具体、明确的质疑事项和与质疑事项相关的请求；</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1.2.4事实依据；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1.2.5必要的法律依据；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1.2.6提出质疑的日期；</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1.2.7营业执照（或事业单位法人证书，或个体工商户营业执照或有效的自然人身份证明）复印件；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2.质疑答复</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采购人、采购代理机构应当在收到供应商的书面质疑后七个工作日内作出答复，并以书面形式通知质疑供应商和其他有关供应商。</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3.其他</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pPr>
        <w:pStyle w:val="3"/>
        <w:adjustRightInd w:val="0"/>
        <w:snapToGrid w:val="0"/>
        <w:spacing w:line="400" w:lineRule="exact"/>
        <w:ind w:left="560" w:firstLine="482" w:firstLineChars="200"/>
        <w:rPr>
          <w:rFonts w:ascii="方正仿宋_GBK" w:eastAsia="方正仿宋_GBK"/>
          <w:sz w:val="24"/>
        </w:rPr>
      </w:pPr>
      <w:bookmarkStart w:id="171" w:name="_Toc23778"/>
      <w:bookmarkStart w:id="172" w:name="_Toc3127"/>
      <w:bookmarkStart w:id="173" w:name="_Toc16648"/>
      <w:bookmarkStart w:id="174" w:name="_Toc106034801"/>
      <w:bookmarkStart w:id="175" w:name="_Toc65660361"/>
      <w:r>
        <w:rPr>
          <w:rFonts w:hint="eastAsia" w:ascii="方正仿宋_GBK" w:eastAsia="方正仿宋_GBK"/>
          <w:sz w:val="24"/>
        </w:rPr>
        <w:t>七、签订合同</w:t>
      </w:r>
      <w:bookmarkEnd w:id="171"/>
      <w:bookmarkEnd w:id="172"/>
      <w:bookmarkEnd w:id="173"/>
      <w:bookmarkEnd w:id="174"/>
      <w:bookmarkEnd w:id="175"/>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方正仿宋_GBK" w:eastAsia="方正仿宋_GBK"/>
          <w:sz w:val="24"/>
        </w:rPr>
        <w:t>采购人原则上应在成交结果公告发出之日起二十日内和成交供应商签订政府采购合同，无正当理由不得拒绝或拖延合同签订</w:t>
      </w:r>
      <w:r>
        <w:rPr>
          <w:rFonts w:hint="eastAsia" w:ascii="方正仿宋_GBK" w:hAnsi="宋体" w:eastAsia="方正仿宋_GBK"/>
          <w:sz w:val="24"/>
          <w:szCs w:val="24"/>
        </w:rPr>
        <w:t>。所签订的合同不得对采购文件和供应商的响应文件作实质性修改。其他未尽事宜由采购人和成交供应商在采购合同中详细约定。</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（二）采购文件、供应商的响应文件及澄清文件等，均为签订政府采购合同的依据。</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（三）合同生效条款由供需双方约定，法律、行政法规规定应当办理批准、登记等手续后生效的合同，依照其规定。</w:t>
      </w:r>
    </w:p>
    <w:p>
      <w:pPr>
        <w:pStyle w:val="3"/>
        <w:adjustRightInd w:val="0"/>
        <w:snapToGrid w:val="0"/>
        <w:spacing w:line="400" w:lineRule="exact"/>
        <w:ind w:left="560" w:firstLine="482" w:firstLineChars="200"/>
        <w:rPr>
          <w:rFonts w:ascii="方正仿宋_GBK" w:eastAsia="方正仿宋_GBK"/>
          <w:sz w:val="24"/>
        </w:rPr>
      </w:pPr>
      <w:bookmarkStart w:id="176" w:name="_Toc106034802"/>
      <w:bookmarkStart w:id="177" w:name="_Toc77"/>
      <w:r>
        <w:rPr>
          <w:rFonts w:hint="eastAsia" w:ascii="方正仿宋_GBK" w:eastAsia="方正仿宋_GBK"/>
          <w:sz w:val="24"/>
        </w:rPr>
        <w:t>八、项目验收</w:t>
      </w:r>
      <w:bookmarkEnd w:id="176"/>
      <w:bookmarkEnd w:id="177"/>
    </w:p>
    <w:p>
      <w:pPr>
        <w:spacing w:line="400" w:lineRule="exact"/>
        <w:ind w:firstLine="360" w:firstLineChars="150"/>
        <w:rPr>
          <w:rFonts w:ascii="方正仿宋_GBK" w:hAnsi="宋体" w:eastAsia="方正仿宋_GBK"/>
          <w:sz w:val="24"/>
          <w:szCs w:val="24"/>
        </w:rPr>
      </w:pPr>
      <w:r>
        <w:rPr>
          <w:rFonts w:hint="eastAsia" w:ascii="方正仿宋_GBK" w:hAnsi="方正仿宋_GBK" w:eastAsia="方正仿宋_GBK"/>
          <w:sz w:val="24"/>
        </w:rPr>
        <w:t>合同执行完毕，采购人原则上在收到验收申请后，应在7个工作日内组织履约情况验收，不得无故拖延或附加额外条件。</w:t>
      </w:r>
    </w:p>
    <w:p>
      <w:pPr>
        <w:snapToGrid w:val="0"/>
        <w:spacing w:line="400" w:lineRule="exact"/>
        <w:ind w:firstLine="360" w:firstLineChars="150"/>
        <w:rPr>
          <w:rFonts w:ascii="方正仿宋_GBK" w:hAnsi="宋体" w:eastAsia="方正仿宋_GBK"/>
          <w:sz w:val="24"/>
          <w:szCs w:val="24"/>
        </w:rPr>
      </w:pPr>
    </w:p>
    <w:p>
      <w:pPr>
        <w:spacing w:line="360" w:lineRule="auto"/>
        <w:ind w:firstLine="480" w:firstLineChars="200"/>
        <w:rPr>
          <w:rFonts w:ascii="宋体" w:hAnsi="宋体"/>
          <w:sz w:val="24"/>
          <w:szCs w:val="24"/>
        </w:rPr>
        <w:sectPr>
          <w:pgSz w:w="11907" w:h="16840"/>
          <w:pgMar w:top="1134" w:right="1191" w:bottom="1134" w:left="1304" w:header="964" w:footer="992" w:gutter="0"/>
          <w:pgNumType w:fmt="numberInDash"/>
          <w:cols w:space="720" w:num="1"/>
          <w:docGrid w:linePitch="312" w:charSpace="0"/>
        </w:sectPr>
      </w:pPr>
    </w:p>
    <w:bookmarkEnd w:id="69"/>
    <w:p>
      <w:pPr>
        <w:pStyle w:val="3"/>
        <w:spacing w:line="360" w:lineRule="auto"/>
        <w:ind w:left="560"/>
        <w:jc w:val="center"/>
        <w:rPr>
          <w:rFonts w:ascii="方正小标宋_GBK" w:eastAsia="方正小标宋_GBK"/>
          <w:b w:val="0"/>
          <w:sz w:val="36"/>
          <w:szCs w:val="30"/>
        </w:rPr>
      </w:pPr>
      <w:bookmarkStart w:id="178" w:name="_Toc11641055"/>
      <w:bookmarkStart w:id="179" w:name="_Toc12789059"/>
      <w:bookmarkStart w:id="180" w:name="_Toc65660365"/>
      <w:bookmarkStart w:id="181" w:name="_Toc10599"/>
      <w:bookmarkStart w:id="182" w:name="_Toc106034806"/>
      <w:bookmarkStart w:id="183" w:name="_Toc28162"/>
      <w:bookmarkStart w:id="184" w:name="_Toc14861"/>
      <w:r>
        <w:rPr>
          <w:rFonts w:hint="eastAsia" w:ascii="方正小标宋_GBK" w:eastAsia="方正小标宋_GBK"/>
          <w:b w:val="0"/>
          <w:sz w:val="36"/>
          <w:szCs w:val="30"/>
        </w:rPr>
        <w:t xml:space="preserve">第六篇  </w:t>
      </w:r>
      <w:bookmarkEnd w:id="178"/>
      <w:bookmarkEnd w:id="179"/>
      <w:r>
        <w:rPr>
          <w:rFonts w:hint="eastAsia" w:ascii="方正小标宋_GBK" w:eastAsia="方正小标宋_GBK"/>
          <w:b w:val="0"/>
          <w:sz w:val="36"/>
          <w:szCs w:val="30"/>
        </w:rPr>
        <w:t>合同草案条款</w:t>
      </w:r>
      <w:bookmarkEnd w:id="180"/>
      <w:bookmarkEnd w:id="181"/>
      <w:bookmarkEnd w:id="182"/>
      <w:bookmarkEnd w:id="183"/>
      <w:bookmarkEnd w:id="184"/>
    </w:p>
    <w:p>
      <w:pPr>
        <w:spacing w:line="400" w:lineRule="exact"/>
        <w:ind w:right="12" w:firstLine="480"/>
        <w:rPr>
          <w:rFonts w:ascii="方正仿宋_GBK" w:hAnsi="仿宋" w:eastAsia="方正仿宋_GBK" w:cs="仿宋"/>
          <w:sz w:val="24"/>
        </w:rPr>
      </w:pPr>
    </w:p>
    <w:p>
      <w:pPr>
        <w:spacing w:line="400" w:lineRule="exact"/>
        <w:ind w:right="12" w:firstLine="480"/>
        <w:rPr>
          <w:rFonts w:ascii="方正仿宋_GBK" w:hAnsi="仿宋" w:eastAsia="方正仿宋_GBK" w:cs="仿宋"/>
          <w:sz w:val="24"/>
        </w:rPr>
        <w:sectPr>
          <w:footerReference r:id="rId9" w:type="default"/>
          <w:footerReference r:id="rId10" w:type="even"/>
          <w:pgSz w:w="11907" w:h="16840"/>
          <w:pgMar w:top="1134" w:right="1191" w:bottom="1134" w:left="1304" w:header="964" w:footer="992" w:gutter="0"/>
          <w:pgNumType w:fmt="numberInDash"/>
          <w:cols w:space="720" w:num="1"/>
          <w:docGrid w:linePitch="312" w:charSpace="0"/>
        </w:sectPr>
      </w:pPr>
    </w:p>
    <w:p>
      <w:pPr>
        <w:rPr>
          <w:rFonts w:ascii="方正仿宋_GBK" w:eastAsia="方正仿宋_GBK"/>
          <w:sz w:val="24"/>
        </w:rPr>
      </w:pPr>
      <w:bookmarkStart w:id="185" w:name="_Toc148265480"/>
      <w:bookmarkStart w:id="186" w:name="_Toc303945820"/>
      <w:r>
        <w:rPr>
          <w:rFonts w:hint="eastAsia" w:ascii="方正仿宋_GBK" w:eastAsia="方正仿宋_GBK"/>
          <w:sz w:val="24"/>
        </w:rPr>
        <w:t>附页：合同格式</w:t>
      </w:r>
      <w:bookmarkEnd w:id="185"/>
      <w:bookmarkEnd w:id="186"/>
    </w:p>
    <w:p>
      <w:pPr>
        <w:spacing w:line="500" w:lineRule="exact"/>
        <w:jc w:val="center"/>
        <w:outlineLvl w:val="1"/>
        <w:rPr>
          <w:rFonts w:ascii="方正仿宋_GBK" w:eastAsia="方正仿宋_GBK"/>
          <w:b/>
          <w:sz w:val="44"/>
        </w:rPr>
      </w:pPr>
      <w:r>
        <w:rPr>
          <w:rFonts w:hint="eastAsia" w:ascii="方正仿宋_GBK" w:eastAsia="方正仿宋_GBK"/>
          <w:b/>
          <w:sz w:val="44"/>
        </w:rPr>
        <w:t>重庆市政府采购合同</w:t>
      </w:r>
    </w:p>
    <w:p>
      <w:pPr>
        <w:spacing w:line="500" w:lineRule="exact"/>
        <w:jc w:val="center"/>
        <w:outlineLvl w:val="1"/>
        <w:rPr>
          <w:rFonts w:ascii="方正仿宋_GBK" w:eastAsia="方正仿宋_GBK"/>
          <w:b/>
          <w:sz w:val="44"/>
        </w:rPr>
      </w:pPr>
      <w:r>
        <w:rPr>
          <w:rFonts w:hint="eastAsia" w:ascii="方正仿宋_GBK" w:eastAsia="方正仿宋_GBK"/>
          <w:b/>
          <w:sz w:val="44"/>
        </w:rPr>
        <w:t>（服务类）</w:t>
      </w:r>
    </w:p>
    <w:p>
      <w:pPr>
        <w:spacing w:line="500" w:lineRule="exact"/>
        <w:jc w:val="center"/>
        <w:outlineLvl w:val="1"/>
        <w:rPr>
          <w:rFonts w:ascii="方正仿宋_GBK" w:eastAsia="方正仿宋_GBK"/>
          <w:b/>
          <w:sz w:val="44"/>
        </w:rPr>
      </w:pPr>
    </w:p>
    <w:p>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pPr>
        <w:spacing w:line="500" w:lineRule="exact"/>
        <w:rPr>
          <w:rFonts w:ascii="方正仿宋_GBK" w:eastAsia="方正仿宋_GBK"/>
          <w:sz w:val="24"/>
        </w:rPr>
      </w:pPr>
    </w:p>
    <w:p>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ascii="方正仿宋_GBK" w:eastAsia="方正仿宋_GBK"/>
                <w:sz w:val="21"/>
                <w:szCs w:val="21"/>
              </w:rPr>
            </w:pPr>
            <w:r>
              <w:rPr>
                <w:rFonts w:hint="eastAsia" w:ascii="方正仿宋_GBK" w:eastAsia="方正仿宋_GBK"/>
                <w:sz w:val="21"/>
                <w:szCs w:val="21"/>
              </w:rPr>
              <w:t>项目名称</w:t>
            </w:r>
          </w:p>
        </w:tc>
        <w:tc>
          <w:tcPr>
            <w:tcW w:w="984" w:type="dxa"/>
            <w:vAlign w:val="center"/>
          </w:tcPr>
          <w:p>
            <w:pPr>
              <w:spacing w:line="240" w:lineRule="atLeast"/>
              <w:jc w:val="center"/>
              <w:rPr>
                <w:rFonts w:ascii="方正仿宋_GBK" w:eastAsia="方正仿宋_GBK"/>
                <w:sz w:val="21"/>
                <w:szCs w:val="21"/>
              </w:rPr>
            </w:pPr>
            <w:r>
              <w:rPr>
                <w:rFonts w:hint="eastAsia" w:ascii="方正仿宋_GBK" w:eastAsia="方正仿宋_GBK"/>
                <w:sz w:val="21"/>
                <w:szCs w:val="21"/>
              </w:rPr>
              <w:t>数量</w:t>
            </w:r>
          </w:p>
        </w:tc>
        <w:tc>
          <w:tcPr>
            <w:tcW w:w="1298" w:type="dxa"/>
            <w:gridSpan w:val="2"/>
            <w:vAlign w:val="center"/>
          </w:tcPr>
          <w:p>
            <w:pPr>
              <w:spacing w:line="240" w:lineRule="atLeast"/>
              <w:jc w:val="center"/>
              <w:rPr>
                <w:rFonts w:ascii="方正仿宋_GBK" w:eastAsia="方正仿宋_GBK"/>
                <w:sz w:val="21"/>
                <w:szCs w:val="21"/>
              </w:rPr>
            </w:pPr>
            <w:r>
              <w:rPr>
                <w:rFonts w:hint="eastAsia" w:ascii="方正仿宋_GBK" w:eastAsia="方正仿宋_GBK"/>
                <w:sz w:val="21"/>
                <w:szCs w:val="21"/>
              </w:rPr>
              <w:t>综合单价</w:t>
            </w:r>
          </w:p>
        </w:tc>
        <w:tc>
          <w:tcPr>
            <w:tcW w:w="1134" w:type="dxa"/>
            <w:vAlign w:val="center"/>
          </w:tcPr>
          <w:p>
            <w:pPr>
              <w:spacing w:line="240" w:lineRule="atLeast"/>
              <w:jc w:val="center"/>
              <w:rPr>
                <w:rFonts w:ascii="方正仿宋_GBK" w:eastAsia="方正仿宋_GBK"/>
                <w:sz w:val="21"/>
                <w:szCs w:val="21"/>
              </w:rPr>
            </w:pPr>
            <w:r>
              <w:rPr>
                <w:rFonts w:hint="eastAsia" w:ascii="方正仿宋_GBK" w:eastAsia="方正仿宋_GBK"/>
                <w:sz w:val="21"/>
                <w:szCs w:val="21"/>
              </w:rPr>
              <w:t>总价</w:t>
            </w:r>
          </w:p>
        </w:tc>
        <w:tc>
          <w:tcPr>
            <w:tcW w:w="1559" w:type="dxa"/>
            <w:vAlign w:val="center"/>
          </w:tcPr>
          <w:p>
            <w:pPr>
              <w:spacing w:line="240" w:lineRule="atLeast"/>
              <w:jc w:val="center"/>
              <w:rPr>
                <w:rFonts w:ascii="方正仿宋_GBK" w:eastAsia="方正仿宋_GBK"/>
                <w:sz w:val="21"/>
                <w:szCs w:val="21"/>
              </w:rPr>
            </w:pPr>
            <w:r>
              <w:rPr>
                <w:rFonts w:hint="eastAsia" w:ascii="方正仿宋_GBK" w:eastAsia="方正仿宋_GBK"/>
                <w:sz w:val="21"/>
                <w:szCs w:val="21"/>
              </w:rPr>
              <w:t>服务时间/工期</w:t>
            </w:r>
          </w:p>
        </w:tc>
        <w:tc>
          <w:tcPr>
            <w:tcW w:w="1567" w:type="dxa"/>
            <w:vAlign w:val="center"/>
          </w:tcPr>
          <w:p>
            <w:pPr>
              <w:spacing w:line="240" w:lineRule="atLeast"/>
              <w:jc w:val="center"/>
              <w:rPr>
                <w:rFonts w:ascii="方正仿宋_GBK" w:eastAsia="方正仿宋_GBK"/>
                <w:sz w:val="21"/>
                <w:szCs w:val="21"/>
              </w:rPr>
            </w:pPr>
            <w:r>
              <w:rPr>
                <w:rFonts w:hint="eastAsia" w:ascii="方正仿宋_GBK" w:eastAsia="方正仿宋_GBK"/>
                <w:sz w:val="21"/>
                <w:szCs w:val="21"/>
              </w:rPr>
              <w:t>服务/工程地点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ascii="方正仿宋_GBK" w:eastAsia="方正仿宋_GBK"/>
                <w:sz w:val="21"/>
                <w:szCs w:val="21"/>
              </w:rPr>
            </w:pPr>
          </w:p>
        </w:tc>
        <w:tc>
          <w:tcPr>
            <w:tcW w:w="984" w:type="dxa"/>
            <w:vAlign w:val="center"/>
          </w:tcPr>
          <w:p>
            <w:pPr>
              <w:spacing w:line="240" w:lineRule="atLeast"/>
              <w:jc w:val="center"/>
              <w:rPr>
                <w:rFonts w:ascii="方正仿宋_GBK" w:eastAsia="方正仿宋_GBK"/>
                <w:sz w:val="21"/>
                <w:szCs w:val="21"/>
              </w:rPr>
            </w:pPr>
          </w:p>
        </w:tc>
        <w:tc>
          <w:tcPr>
            <w:tcW w:w="1298" w:type="dxa"/>
            <w:gridSpan w:val="2"/>
            <w:vAlign w:val="center"/>
          </w:tcPr>
          <w:p>
            <w:pPr>
              <w:spacing w:line="240" w:lineRule="atLeast"/>
              <w:jc w:val="center"/>
              <w:rPr>
                <w:rFonts w:ascii="方正仿宋_GBK" w:eastAsia="方正仿宋_GBK"/>
                <w:sz w:val="21"/>
                <w:szCs w:val="21"/>
              </w:rPr>
            </w:pPr>
          </w:p>
        </w:tc>
        <w:tc>
          <w:tcPr>
            <w:tcW w:w="1134" w:type="dxa"/>
            <w:vAlign w:val="center"/>
          </w:tcPr>
          <w:p>
            <w:pPr>
              <w:spacing w:line="240" w:lineRule="atLeast"/>
              <w:jc w:val="center"/>
              <w:rPr>
                <w:rFonts w:ascii="方正仿宋_GBK" w:eastAsia="方正仿宋_GBK"/>
                <w:sz w:val="21"/>
                <w:szCs w:val="21"/>
              </w:rPr>
            </w:pPr>
          </w:p>
        </w:tc>
        <w:tc>
          <w:tcPr>
            <w:tcW w:w="1559" w:type="dxa"/>
            <w:vAlign w:val="center"/>
          </w:tcPr>
          <w:p>
            <w:pPr>
              <w:spacing w:line="240" w:lineRule="atLeast"/>
              <w:jc w:val="center"/>
              <w:rPr>
                <w:rFonts w:ascii="方正仿宋_GBK" w:eastAsia="方正仿宋_GBK"/>
                <w:sz w:val="21"/>
                <w:szCs w:val="21"/>
              </w:rPr>
            </w:pPr>
          </w:p>
        </w:tc>
        <w:tc>
          <w:tcPr>
            <w:tcW w:w="1567" w:type="dxa"/>
            <w:vAlign w:val="center"/>
          </w:tcPr>
          <w:p>
            <w:pPr>
              <w:spacing w:line="240" w:lineRule="atLeast"/>
              <w:jc w:val="center"/>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ascii="方正仿宋_GBK" w:eastAsia="方正仿宋_GBK"/>
                <w:sz w:val="21"/>
                <w:szCs w:val="21"/>
              </w:rPr>
            </w:pPr>
          </w:p>
        </w:tc>
        <w:tc>
          <w:tcPr>
            <w:tcW w:w="984" w:type="dxa"/>
            <w:vAlign w:val="center"/>
          </w:tcPr>
          <w:p>
            <w:pPr>
              <w:spacing w:line="240" w:lineRule="atLeast"/>
              <w:jc w:val="center"/>
              <w:rPr>
                <w:rFonts w:ascii="方正仿宋_GBK" w:eastAsia="方正仿宋_GBK"/>
                <w:sz w:val="21"/>
                <w:szCs w:val="21"/>
              </w:rPr>
            </w:pPr>
          </w:p>
        </w:tc>
        <w:tc>
          <w:tcPr>
            <w:tcW w:w="1298" w:type="dxa"/>
            <w:gridSpan w:val="2"/>
            <w:vAlign w:val="center"/>
          </w:tcPr>
          <w:p>
            <w:pPr>
              <w:spacing w:line="240" w:lineRule="atLeast"/>
              <w:jc w:val="center"/>
              <w:rPr>
                <w:rFonts w:ascii="方正仿宋_GBK" w:eastAsia="方正仿宋_GBK"/>
                <w:sz w:val="21"/>
                <w:szCs w:val="21"/>
              </w:rPr>
            </w:pPr>
          </w:p>
        </w:tc>
        <w:tc>
          <w:tcPr>
            <w:tcW w:w="1134" w:type="dxa"/>
            <w:vAlign w:val="center"/>
          </w:tcPr>
          <w:p>
            <w:pPr>
              <w:spacing w:line="240" w:lineRule="atLeast"/>
              <w:jc w:val="center"/>
              <w:rPr>
                <w:rFonts w:ascii="方正仿宋_GBK" w:eastAsia="方正仿宋_GBK"/>
                <w:sz w:val="21"/>
                <w:szCs w:val="21"/>
              </w:rPr>
            </w:pPr>
          </w:p>
        </w:tc>
        <w:tc>
          <w:tcPr>
            <w:tcW w:w="1559" w:type="dxa"/>
            <w:vAlign w:val="center"/>
          </w:tcPr>
          <w:p>
            <w:pPr>
              <w:spacing w:line="240" w:lineRule="atLeast"/>
              <w:jc w:val="center"/>
              <w:rPr>
                <w:rFonts w:ascii="方正仿宋_GBK" w:eastAsia="方正仿宋_GBK"/>
                <w:sz w:val="21"/>
                <w:szCs w:val="21"/>
              </w:rPr>
            </w:pPr>
          </w:p>
        </w:tc>
        <w:tc>
          <w:tcPr>
            <w:tcW w:w="1567" w:type="dxa"/>
            <w:vAlign w:val="center"/>
          </w:tcPr>
          <w:p>
            <w:pPr>
              <w:spacing w:line="240" w:lineRule="atLeast"/>
              <w:jc w:val="center"/>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ascii="方正仿宋_GBK" w:eastAsia="方正仿宋_GBK"/>
                <w:sz w:val="21"/>
                <w:szCs w:val="21"/>
              </w:rPr>
            </w:pPr>
            <w:r>
              <w:rPr>
                <w:rFonts w:hint="eastAsia" w:ascii="方正仿宋_GBK" w:eastAsia="方正仿宋_GBK"/>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ascii="方正仿宋_GBK" w:eastAsia="方正仿宋_GBK"/>
                <w:sz w:val="21"/>
                <w:szCs w:val="21"/>
              </w:rPr>
            </w:pPr>
            <w:r>
              <w:rPr>
                <w:rFonts w:hint="eastAsia" w:ascii="方正仿宋_GBK" w:eastAsia="方正仿宋_GBK"/>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pPr>
              <w:spacing w:line="240" w:lineRule="atLeast"/>
              <w:rPr>
                <w:rFonts w:ascii="方正仿宋_GBK" w:eastAsia="方正仿宋_GBK"/>
                <w:sz w:val="21"/>
                <w:szCs w:val="21"/>
              </w:rPr>
            </w:pPr>
            <w:r>
              <w:rPr>
                <w:rFonts w:hint="eastAsia" w:ascii="方正仿宋_GBK" w:eastAsia="方正仿宋_GBK"/>
                <w:sz w:val="21"/>
                <w:szCs w:val="21"/>
              </w:rPr>
              <w:t>一、项目内容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二、项目要求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三、验收方式：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pPr>
              <w:rPr>
                <w:rFonts w:ascii="方正仿宋_GBK" w:eastAsia="方正仿宋_GBK"/>
                <w:sz w:val="21"/>
                <w:szCs w:val="21"/>
              </w:rPr>
            </w:pPr>
            <w:r>
              <w:rPr>
                <w:rFonts w:hint="eastAsia" w:ascii="方正仿宋_GBK" w:eastAsia="方正仿宋_GBK"/>
                <w:sz w:val="21"/>
                <w:szCs w:val="21"/>
              </w:rPr>
              <w:t>四、付款方式</w:t>
            </w:r>
            <w:r>
              <w:rPr>
                <w:rFonts w:ascii="方正仿宋_GBK" w:eastAsia="方正仿宋_GBK"/>
                <w:sz w:val="21"/>
                <w:szCs w:val="21"/>
              </w:rPr>
              <w:t>：</w:t>
            </w:r>
          </w:p>
          <w:p>
            <w:pPr>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五、违约责任：</w:t>
            </w:r>
          </w:p>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六、其他约定事项：</w:t>
            </w:r>
          </w:p>
          <w:p>
            <w:pPr>
              <w:spacing w:line="240" w:lineRule="atLeast"/>
              <w:rPr>
                <w:rFonts w:ascii="方正仿宋_GBK" w:eastAsia="方正仿宋_GBK"/>
                <w:sz w:val="21"/>
                <w:szCs w:val="21"/>
              </w:rPr>
            </w:pPr>
            <w:r>
              <w:rPr>
                <w:rFonts w:hint="eastAsia" w:ascii="方正仿宋_GBK" w:eastAsia="方正仿宋_GBK"/>
                <w:sz w:val="21"/>
                <w:szCs w:val="21"/>
              </w:rPr>
              <w:t>1.采购文件及其澄清文件、响应文件和承诺是本合同不可分割的部分。</w:t>
            </w:r>
          </w:p>
          <w:p>
            <w:pPr>
              <w:spacing w:line="240" w:lineRule="atLeast"/>
              <w:rPr>
                <w:rFonts w:ascii="方正仿宋_GBK" w:eastAsia="方正仿宋_GBK"/>
                <w:sz w:val="21"/>
                <w:szCs w:val="21"/>
              </w:rPr>
            </w:pPr>
            <w:r>
              <w:rPr>
                <w:rFonts w:hint="eastAsia" w:ascii="方正仿宋_GBK" w:eastAsia="方正仿宋_GBK"/>
                <w:sz w:val="21"/>
                <w:szCs w:val="21"/>
              </w:rPr>
              <w:t>2.本合同如发生争议由双方协商解决，协商不成向需方所在人民法院提请诉讼。</w:t>
            </w:r>
          </w:p>
          <w:p>
            <w:pPr>
              <w:spacing w:line="240" w:lineRule="atLeast"/>
              <w:rPr>
                <w:rFonts w:ascii="方正仿宋_GBK" w:eastAsia="方正仿宋_GBK"/>
                <w:sz w:val="21"/>
                <w:szCs w:val="21"/>
              </w:rPr>
            </w:pPr>
            <w:r>
              <w:rPr>
                <w:rFonts w:hint="eastAsia" w:ascii="方正仿宋_GBK" w:eastAsia="方正仿宋_GBK"/>
                <w:sz w:val="21"/>
                <w:szCs w:val="21"/>
              </w:rPr>
              <w:t>3.本合同一式__份， 需方__份，供方__份，具同等法律效力。</w:t>
            </w:r>
          </w:p>
          <w:p>
            <w:pPr>
              <w:spacing w:line="240" w:lineRule="atLeast"/>
              <w:rPr>
                <w:rFonts w:ascii="方正仿宋_GBK" w:eastAsia="方正仿宋_GBK"/>
                <w:sz w:val="21"/>
                <w:szCs w:val="21"/>
              </w:rPr>
            </w:pPr>
            <w:r>
              <w:rPr>
                <w:rFonts w:hint="eastAsia" w:ascii="方正仿宋_GBK" w:eastAsia="方正仿宋_GBK"/>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pPr>
              <w:spacing w:line="240" w:lineRule="atLeast"/>
              <w:rPr>
                <w:rFonts w:ascii="方正仿宋_GBK" w:eastAsia="方正仿宋_GBK"/>
                <w:sz w:val="21"/>
                <w:szCs w:val="21"/>
              </w:rPr>
            </w:pPr>
            <w:r>
              <w:rPr>
                <w:rFonts w:hint="eastAsia" w:ascii="方正仿宋_GBK" w:eastAsia="方正仿宋_GBK"/>
                <w:sz w:val="21"/>
                <w:szCs w:val="21"/>
              </w:rPr>
              <w:t>需方：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联系电话：</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tc>
        <w:tc>
          <w:tcPr>
            <w:tcW w:w="4984" w:type="dxa"/>
            <w:gridSpan w:val="5"/>
          </w:tcPr>
          <w:p>
            <w:pPr>
              <w:spacing w:line="240" w:lineRule="atLeast"/>
              <w:rPr>
                <w:rFonts w:ascii="方正仿宋_GBK" w:eastAsia="方正仿宋_GBK"/>
                <w:sz w:val="21"/>
                <w:szCs w:val="21"/>
              </w:rPr>
            </w:pPr>
            <w:r>
              <w:rPr>
                <w:rFonts w:hint="eastAsia" w:ascii="方正仿宋_GBK" w:eastAsia="方正仿宋_GBK"/>
                <w:sz w:val="21"/>
                <w:szCs w:val="21"/>
              </w:rPr>
              <w:t>供方：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电话：</w:t>
            </w:r>
          </w:p>
          <w:p>
            <w:pPr>
              <w:spacing w:line="240" w:lineRule="atLeast"/>
              <w:rPr>
                <w:rFonts w:ascii="方正仿宋_GBK" w:eastAsia="方正仿宋_GBK"/>
                <w:sz w:val="21"/>
                <w:szCs w:val="21"/>
              </w:rPr>
            </w:pPr>
            <w:r>
              <w:rPr>
                <w:rFonts w:hint="eastAsia" w:ascii="方正仿宋_GBK" w:eastAsia="方正仿宋_GBK"/>
                <w:sz w:val="21"/>
                <w:szCs w:val="21"/>
              </w:rPr>
              <w:t>传真：</w:t>
            </w:r>
          </w:p>
          <w:p>
            <w:pPr>
              <w:spacing w:line="240" w:lineRule="atLeast"/>
              <w:rPr>
                <w:rFonts w:ascii="方正仿宋_GBK" w:eastAsia="方正仿宋_GBK"/>
                <w:sz w:val="21"/>
                <w:szCs w:val="21"/>
              </w:rPr>
            </w:pPr>
            <w:r>
              <w:rPr>
                <w:rFonts w:hint="eastAsia" w:ascii="方正仿宋_GBK" w:eastAsia="方正仿宋_GBK"/>
                <w:sz w:val="21"/>
                <w:szCs w:val="21"/>
              </w:rPr>
              <w:t>开户银行：</w:t>
            </w:r>
          </w:p>
          <w:p>
            <w:pPr>
              <w:spacing w:line="240" w:lineRule="atLeast"/>
              <w:rPr>
                <w:rFonts w:ascii="方正仿宋_GBK" w:eastAsia="方正仿宋_GBK"/>
                <w:sz w:val="21"/>
                <w:szCs w:val="21"/>
              </w:rPr>
            </w:pPr>
            <w:r>
              <w:rPr>
                <w:rFonts w:hint="eastAsia" w:ascii="方正仿宋_GBK" w:eastAsia="方正仿宋_GBK"/>
                <w:sz w:val="21"/>
                <w:szCs w:val="21"/>
              </w:rPr>
              <w:t>账号：</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p>
            <w:pPr>
              <w:widowControl/>
              <w:spacing w:line="240" w:lineRule="atLeast"/>
              <w:jc w:val="left"/>
              <w:rPr>
                <w:rFonts w:ascii="方正仿宋_GBK" w:eastAsia="方正仿宋_GBK"/>
                <w:sz w:val="21"/>
                <w:szCs w:val="21"/>
              </w:rPr>
            </w:pPr>
            <w:r>
              <w:rPr>
                <w:rFonts w:hint="eastAsia" w:ascii="方正仿宋_GBK" w:eastAsia="方正仿宋_GBK"/>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备注：</w:t>
            </w:r>
          </w:p>
          <w:p>
            <w:pPr>
              <w:spacing w:line="240" w:lineRule="atLeast"/>
              <w:rPr>
                <w:rFonts w:ascii="方正仿宋_GBK" w:eastAsia="方正仿宋_GBK"/>
                <w:sz w:val="21"/>
                <w:szCs w:val="21"/>
              </w:rPr>
            </w:pPr>
          </w:p>
          <w:p>
            <w:pPr>
              <w:spacing w:line="240" w:lineRule="atLeast"/>
              <w:rPr>
                <w:rFonts w:ascii="方正仿宋_GBK" w:eastAsia="方正仿宋_GBK"/>
                <w:sz w:val="21"/>
                <w:szCs w:val="21"/>
              </w:rPr>
            </w:pPr>
          </w:p>
        </w:tc>
      </w:tr>
    </w:tbl>
    <w:p>
      <w:pPr>
        <w:rPr>
          <w:rFonts w:ascii="方正仿宋_GBK" w:eastAsia="方正仿宋_GBK"/>
          <w:sz w:val="24"/>
        </w:rPr>
      </w:pPr>
      <w:r>
        <w:rPr>
          <w:rFonts w:hint="eastAsia" w:ascii="方正仿宋_GBK" w:eastAsia="方正仿宋_GBK"/>
          <w:sz w:val="24"/>
        </w:rPr>
        <w:t>签约时间：           年   月   日      签约地点：</w:t>
      </w:r>
    </w:p>
    <w:p>
      <w:pPr>
        <w:tabs>
          <w:tab w:val="left" w:pos="9000"/>
        </w:tabs>
        <w:spacing w:line="276" w:lineRule="auto"/>
        <w:jc w:val="center"/>
        <w:rPr>
          <w:rFonts w:ascii="方正仿宋_GBK" w:eastAsia="方正仿宋_GBK"/>
          <w:sz w:val="21"/>
          <w:szCs w:val="21"/>
        </w:rPr>
        <w:sectPr>
          <w:pgSz w:w="11907" w:h="16840"/>
          <w:pgMar w:top="1134" w:right="1191" w:bottom="1134" w:left="1304" w:header="964" w:footer="992" w:gutter="0"/>
          <w:pgNumType w:fmt="numberInDash"/>
          <w:cols w:space="720" w:num="1"/>
          <w:docGrid w:linePitch="312" w:charSpace="0"/>
        </w:sectPr>
      </w:pPr>
    </w:p>
    <w:p>
      <w:pPr>
        <w:pStyle w:val="3"/>
        <w:spacing w:line="360" w:lineRule="auto"/>
        <w:ind w:left="560"/>
        <w:jc w:val="center"/>
        <w:rPr>
          <w:rFonts w:ascii="方正小标宋_GBK" w:eastAsia="方正小标宋_GBK"/>
          <w:b w:val="0"/>
          <w:sz w:val="36"/>
          <w:szCs w:val="30"/>
        </w:rPr>
      </w:pPr>
      <w:bookmarkStart w:id="187" w:name="_Hlt41879464"/>
      <w:bookmarkEnd w:id="187"/>
      <w:bookmarkStart w:id="188" w:name="_Toc9538"/>
      <w:bookmarkStart w:id="189" w:name="_Toc6968"/>
      <w:bookmarkStart w:id="190" w:name="_Toc18521"/>
      <w:bookmarkStart w:id="191" w:name="_Toc106034807"/>
      <w:bookmarkStart w:id="192" w:name="_Toc12789072"/>
      <w:bookmarkStart w:id="193" w:name="_Toc65660378"/>
      <w:r>
        <w:rPr>
          <w:rFonts w:hint="eastAsia" w:ascii="方正小标宋_GBK" w:eastAsia="方正小标宋_GBK"/>
          <w:b w:val="0"/>
          <w:sz w:val="36"/>
          <w:szCs w:val="30"/>
        </w:rPr>
        <w:t>第七篇  响应文件格式要求</w:t>
      </w:r>
      <w:bookmarkEnd w:id="188"/>
      <w:bookmarkEnd w:id="189"/>
      <w:bookmarkEnd w:id="190"/>
      <w:bookmarkEnd w:id="191"/>
      <w:bookmarkEnd w:id="192"/>
      <w:bookmarkEnd w:id="193"/>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一、经济部分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二、技术（质量）部分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（一）技术（质量）响应偏离表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（二）其他资料（格式自定）</w:t>
      </w:r>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三、服务部分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（二）其它优惠服务承诺（格式自定）</w:t>
      </w:r>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四、资格条件及其他</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（二）法定代表人身份证明书（格式）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（三）法定代表人授权委托书（格式）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（四）基本资格条件承诺函（格式）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（五）特定资格条件证书或证明文件</w:t>
      </w:r>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五、其他资料</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（一）联合体协议或分包意向协议（格式自定）</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（二）其他与项目有关的资料（自附）</w:t>
      </w:r>
    </w:p>
    <w:p>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3"/>
        <w:adjustRightInd w:val="0"/>
        <w:snapToGrid w:val="0"/>
        <w:spacing w:line="400" w:lineRule="exact"/>
        <w:ind w:left="560" w:firstLine="482" w:firstLineChars="200"/>
        <w:rPr>
          <w:rFonts w:ascii="方正仿宋_GBK" w:eastAsia="方正仿宋_GBK"/>
          <w:sz w:val="24"/>
        </w:rPr>
      </w:pPr>
      <w:bookmarkStart w:id="194" w:name="_Toc106034808"/>
      <w:bookmarkStart w:id="195" w:name="_Toc65660379"/>
      <w:bookmarkStart w:id="196" w:name="_Toc313008356"/>
      <w:bookmarkStart w:id="197" w:name="_Toc14244"/>
      <w:bookmarkStart w:id="198" w:name="_Toc342913419"/>
      <w:bookmarkStart w:id="199" w:name="_Toc26343"/>
      <w:bookmarkStart w:id="200" w:name="_Toc313888360"/>
      <w:bookmarkStart w:id="201" w:name="_Toc30982"/>
      <w:bookmarkStart w:id="202" w:name="_Toc12789073"/>
      <w:bookmarkStart w:id="203" w:name="_Toc283382454"/>
      <w:r>
        <w:rPr>
          <w:rFonts w:hint="eastAsia" w:ascii="方正仿宋_GBK" w:eastAsia="方正仿宋_GBK"/>
          <w:sz w:val="24"/>
        </w:rPr>
        <w:t>一、经济部分</w:t>
      </w:r>
      <w:bookmarkEnd w:id="194"/>
      <w:bookmarkEnd w:id="195"/>
      <w:bookmarkEnd w:id="196"/>
      <w:bookmarkEnd w:id="197"/>
      <w:bookmarkEnd w:id="198"/>
      <w:bookmarkEnd w:id="199"/>
      <w:bookmarkEnd w:id="200"/>
      <w:bookmarkEnd w:id="201"/>
    </w:p>
    <w:bookmarkEnd w:id="202"/>
    <w:bookmarkEnd w:id="203"/>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562" w:firstLineChars="200"/>
        <w:jc w:val="center"/>
        <w:rPr>
          <w:rFonts w:ascii="方正仿宋_GBK" w:hAnsi="宋体" w:eastAsia="方正仿宋_GBK"/>
          <w:b/>
          <w:szCs w:val="28"/>
        </w:rPr>
      </w:pPr>
      <w:r>
        <w:rPr>
          <w:rFonts w:hint="eastAsia" w:ascii="方正仿宋_GBK" w:hAnsi="宋体" w:eastAsia="方正仿宋_GBK"/>
          <w:b/>
          <w:szCs w:val="28"/>
        </w:rPr>
        <w:t>报价函</w:t>
      </w:r>
    </w:p>
    <w:p>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我方收到____________________________（项目名称）的限额以下比价通知书，经详细研究，决定参加该项目的报价。</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1.愿意按照采购文件中的一切要求，提供本项目的交货及技术服务，项目报价（总价）为人民币大写：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元。以我公司报价为准。</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w:t>
      </w:r>
      <w:r>
        <w:rPr>
          <w:rFonts w:hint="eastAsia" w:ascii="方正仿宋_GBK" w:hAnsi="宋体" w:eastAsia="方正仿宋_GBK"/>
          <w:sz w:val="24"/>
          <w:szCs w:val="24"/>
          <w:u w:val="none"/>
          <w:lang w:val="en-US" w:eastAsia="zh-CN"/>
        </w:rPr>
        <w:t>1</w:t>
      </w:r>
      <w:r>
        <w:rPr>
          <w:rFonts w:hint="eastAsia" w:ascii="方正仿宋_GBK" w:hAnsi="宋体" w:eastAsia="方正仿宋_GBK"/>
          <w:sz w:val="24"/>
          <w:szCs w:val="24"/>
        </w:rPr>
        <w:t>份。</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3.我方承诺：本次报价的有效期为提交响应文件截止时间起90天。</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4.我方完全理解和接受贵方采购文件的一切规定和要求及评审办法。</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5.在整个比价过程中，我方若有违规行为，接受按照《中华人民共和国政府采购法》和《限额以下比价通知书》之规定给予惩罚。</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6.我方若成为成交供应商，将按照报价结果签订合同，并且严格履行合同义务。本承诺函将成为合同不可分割的一部分，与合同具有同等的法律效力。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7.如果我方成为成交供应商，保证向采购代理机构缴纳采购文件规定的采购代理服务费。</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ascii="方正仿宋_GBK" w:hAnsi="宋体" w:eastAsia="方正仿宋_GBK"/>
          <w:sz w:val="24"/>
          <w:szCs w:val="24"/>
        </w:rPr>
      </w:pP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供应商（公章）或自然人签署：</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pPr>
        <w:snapToGrid w:val="0"/>
        <w:spacing w:line="312" w:lineRule="auto"/>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（二）明细报价表                           </w:t>
      </w:r>
    </w:p>
    <w:p>
      <w:pPr>
        <w:spacing w:line="400" w:lineRule="exact"/>
        <w:rPr>
          <w:rFonts w:ascii="方正仿宋_GBK" w:hAnsi="宋体" w:eastAsia="方正仿宋_GBK"/>
          <w:sz w:val="24"/>
          <w:szCs w:val="24"/>
          <w:u w:val="single"/>
        </w:rPr>
      </w:pPr>
      <w:r>
        <w:rPr>
          <w:rFonts w:hint="eastAsia" w:ascii="方正仿宋_GBK" w:hAnsi="宋体" w:eastAsia="方正仿宋_GBK"/>
          <w:sz w:val="24"/>
          <w:szCs w:val="24"/>
        </w:rPr>
        <w:t xml:space="preserve">项目名称（服务类）：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序号</w:t>
            </w:r>
          </w:p>
        </w:tc>
        <w:tc>
          <w:tcPr>
            <w:tcW w:w="1557" w:type="dxa"/>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名称</w:t>
            </w:r>
          </w:p>
        </w:tc>
        <w:tc>
          <w:tcPr>
            <w:tcW w:w="3127" w:type="dxa"/>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相关信息</w:t>
            </w:r>
          </w:p>
        </w:tc>
        <w:tc>
          <w:tcPr>
            <w:tcW w:w="1235" w:type="dxa"/>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数量</w:t>
            </w:r>
          </w:p>
        </w:tc>
        <w:tc>
          <w:tcPr>
            <w:tcW w:w="1235" w:type="dxa"/>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单价</w:t>
            </w:r>
          </w:p>
        </w:tc>
        <w:tc>
          <w:tcPr>
            <w:tcW w:w="1235" w:type="dxa"/>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w:t>
            </w:r>
          </w:p>
        </w:tc>
        <w:tc>
          <w:tcPr>
            <w:tcW w:w="1557" w:type="dxa"/>
            <w:vAlign w:val="center"/>
          </w:tcPr>
          <w:p>
            <w:pPr>
              <w:jc w:val="center"/>
              <w:rPr>
                <w:rFonts w:ascii="方正仿宋_GBK" w:hAnsi="宋体" w:eastAsia="方正仿宋_GBK"/>
                <w:sz w:val="21"/>
                <w:szCs w:val="21"/>
              </w:rPr>
            </w:pPr>
          </w:p>
        </w:tc>
        <w:tc>
          <w:tcPr>
            <w:tcW w:w="3127" w:type="dxa"/>
          </w:tcPr>
          <w:p>
            <w:pPr>
              <w:jc w:val="center"/>
              <w:rPr>
                <w:rFonts w:ascii="方正仿宋_GBK" w:hAnsi="宋体" w:eastAsia="方正仿宋_GBK"/>
                <w:sz w:val="21"/>
                <w:szCs w:val="21"/>
              </w:rPr>
            </w:pPr>
          </w:p>
        </w:tc>
        <w:tc>
          <w:tcPr>
            <w:tcW w:w="1235" w:type="dxa"/>
            <w:vAlign w:val="center"/>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2</w:t>
            </w:r>
          </w:p>
        </w:tc>
        <w:tc>
          <w:tcPr>
            <w:tcW w:w="1557" w:type="dxa"/>
            <w:vAlign w:val="center"/>
          </w:tcPr>
          <w:p>
            <w:pPr>
              <w:jc w:val="center"/>
              <w:rPr>
                <w:rFonts w:ascii="方正仿宋_GBK" w:hAnsi="宋体" w:eastAsia="方正仿宋_GBK"/>
                <w:sz w:val="21"/>
                <w:szCs w:val="21"/>
              </w:rPr>
            </w:pPr>
          </w:p>
        </w:tc>
        <w:tc>
          <w:tcPr>
            <w:tcW w:w="3127" w:type="dxa"/>
          </w:tcPr>
          <w:p>
            <w:pPr>
              <w:jc w:val="center"/>
              <w:rPr>
                <w:rFonts w:ascii="方正仿宋_GBK" w:hAnsi="宋体" w:eastAsia="方正仿宋_GBK"/>
                <w:sz w:val="21"/>
                <w:szCs w:val="21"/>
              </w:rPr>
            </w:pPr>
          </w:p>
        </w:tc>
        <w:tc>
          <w:tcPr>
            <w:tcW w:w="1235" w:type="dxa"/>
            <w:vAlign w:val="center"/>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3</w:t>
            </w:r>
          </w:p>
        </w:tc>
        <w:tc>
          <w:tcPr>
            <w:tcW w:w="1557" w:type="dxa"/>
            <w:vAlign w:val="center"/>
          </w:tcPr>
          <w:p>
            <w:pPr>
              <w:jc w:val="center"/>
              <w:rPr>
                <w:rFonts w:ascii="方正仿宋_GBK" w:hAnsi="宋体" w:eastAsia="方正仿宋_GBK"/>
                <w:sz w:val="21"/>
                <w:szCs w:val="21"/>
              </w:rPr>
            </w:pPr>
          </w:p>
        </w:tc>
        <w:tc>
          <w:tcPr>
            <w:tcW w:w="3127" w:type="dxa"/>
          </w:tcPr>
          <w:p>
            <w:pPr>
              <w:jc w:val="center"/>
              <w:rPr>
                <w:rFonts w:ascii="方正仿宋_GBK" w:hAnsi="宋体" w:eastAsia="方正仿宋_GBK"/>
                <w:sz w:val="21"/>
                <w:szCs w:val="21"/>
              </w:rPr>
            </w:pPr>
          </w:p>
        </w:tc>
        <w:tc>
          <w:tcPr>
            <w:tcW w:w="1235" w:type="dxa"/>
            <w:vAlign w:val="center"/>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4</w:t>
            </w:r>
          </w:p>
        </w:tc>
        <w:tc>
          <w:tcPr>
            <w:tcW w:w="1557" w:type="dxa"/>
            <w:vAlign w:val="center"/>
          </w:tcPr>
          <w:p>
            <w:pPr>
              <w:jc w:val="center"/>
              <w:rPr>
                <w:rFonts w:ascii="方正仿宋_GBK" w:hAnsi="宋体" w:eastAsia="方正仿宋_GBK"/>
                <w:sz w:val="21"/>
                <w:szCs w:val="21"/>
              </w:rPr>
            </w:pPr>
          </w:p>
        </w:tc>
        <w:tc>
          <w:tcPr>
            <w:tcW w:w="3127" w:type="dxa"/>
          </w:tcPr>
          <w:p>
            <w:pPr>
              <w:jc w:val="center"/>
              <w:rPr>
                <w:rFonts w:ascii="方正仿宋_GBK" w:hAnsi="宋体" w:eastAsia="方正仿宋_GBK"/>
                <w:sz w:val="21"/>
                <w:szCs w:val="21"/>
              </w:rPr>
            </w:pPr>
          </w:p>
        </w:tc>
        <w:tc>
          <w:tcPr>
            <w:tcW w:w="1235" w:type="dxa"/>
            <w:vAlign w:val="center"/>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5</w:t>
            </w:r>
          </w:p>
        </w:tc>
        <w:tc>
          <w:tcPr>
            <w:tcW w:w="1557" w:type="dxa"/>
            <w:vAlign w:val="center"/>
          </w:tcPr>
          <w:p>
            <w:pPr>
              <w:jc w:val="center"/>
              <w:rPr>
                <w:rFonts w:ascii="方正仿宋_GBK" w:hAnsi="宋体" w:eastAsia="方正仿宋_GBK"/>
                <w:sz w:val="21"/>
                <w:szCs w:val="21"/>
              </w:rPr>
            </w:pPr>
          </w:p>
        </w:tc>
        <w:tc>
          <w:tcPr>
            <w:tcW w:w="3127" w:type="dxa"/>
          </w:tcPr>
          <w:p>
            <w:pPr>
              <w:jc w:val="center"/>
              <w:rPr>
                <w:rFonts w:ascii="方正仿宋_GBK" w:hAnsi="宋体" w:eastAsia="方正仿宋_GBK"/>
                <w:sz w:val="21"/>
                <w:szCs w:val="21"/>
              </w:rPr>
            </w:pPr>
          </w:p>
        </w:tc>
        <w:tc>
          <w:tcPr>
            <w:tcW w:w="1235" w:type="dxa"/>
            <w:vAlign w:val="center"/>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6</w:t>
            </w:r>
          </w:p>
        </w:tc>
        <w:tc>
          <w:tcPr>
            <w:tcW w:w="1557" w:type="dxa"/>
            <w:vAlign w:val="center"/>
          </w:tcPr>
          <w:p>
            <w:pPr>
              <w:jc w:val="center"/>
              <w:rPr>
                <w:rFonts w:ascii="方正仿宋_GBK" w:hAnsi="宋体" w:eastAsia="方正仿宋_GBK"/>
                <w:sz w:val="21"/>
                <w:szCs w:val="21"/>
              </w:rPr>
            </w:pPr>
          </w:p>
        </w:tc>
        <w:tc>
          <w:tcPr>
            <w:tcW w:w="3127" w:type="dxa"/>
          </w:tcPr>
          <w:p>
            <w:pPr>
              <w:jc w:val="center"/>
              <w:rPr>
                <w:rFonts w:ascii="方正仿宋_GBK" w:hAnsi="宋体" w:eastAsia="方正仿宋_GBK"/>
                <w:sz w:val="21"/>
                <w:szCs w:val="21"/>
              </w:rPr>
            </w:pPr>
          </w:p>
        </w:tc>
        <w:tc>
          <w:tcPr>
            <w:tcW w:w="1235" w:type="dxa"/>
            <w:vAlign w:val="center"/>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7</w:t>
            </w:r>
          </w:p>
        </w:tc>
        <w:tc>
          <w:tcPr>
            <w:tcW w:w="1557" w:type="dxa"/>
            <w:vAlign w:val="center"/>
          </w:tcPr>
          <w:p>
            <w:pPr>
              <w:jc w:val="center"/>
              <w:rPr>
                <w:rFonts w:ascii="方正仿宋_GBK" w:hAnsi="宋体" w:eastAsia="方正仿宋_GBK"/>
                <w:sz w:val="21"/>
                <w:szCs w:val="21"/>
              </w:rPr>
            </w:pPr>
          </w:p>
        </w:tc>
        <w:tc>
          <w:tcPr>
            <w:tcW w:w="3127" w:type="dxa"/>
          </w:tcPr>
          <w:p>
            <w:pPr>
              <w:jc w:val="center"/>
              <w:rPr>
                <w:rFonts w:ascii="方正仿宋_GBK" w:hAnsi="宋体" w:eastAsia="方正仿宋_GBK"/>
                <w:sz w:val="21"/>
                <w:szCs w:val="21"/>
              </w:rPr>
            </w:pPr>
          </w:p>
        </w:tc>
        <w:tc>
          <w:tcPr>
            <w:tcW w:w="1235" w:type="dxa"/>
            <w:vAlign w:val="center"/>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8</w:t>
            </w:r>
          </w:p>
        </w:tc>
        <w:tc>
          <w:tcPr>
            <w:tcW w:w="1557"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人工费</w:t>
            </w:r>
          </w:p>
        </w:tc>
        <w:tc>
          <w:tcPr>
            <w:tcW w:w="3127" w:type="dxa"/>
          </w:tcPr>
          <w:p>
            <w:pPr>
              <w:jc w:val="center"/>
              <w:rPr>
                <w:rFonts w:ascii="方正仿宋_GBK" w:hAnsi="宋体" w:eastAsia="方正仿宋_GBK"/>
                <w:sz w:val="21"/>
                <w:szCs w:val="21"/>
              </w:rPr>
            </w:pPr>
          </w:p>
        </w:tc>
        <w:tc>
          <w:tcPr>
            <w:tcW w:w="1235"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9</w:t>
            </w:r>
          </w:p>
        </w:tc>
        <w:tc>
          <w:tcPr>
            <w:tcW w:w="1557"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运输费</w:t>
            </w:r>
          </w:p>
        </w:tc>
        <w:tc>
          <w:tcPr>
            <w:tcW w:w="3127" w:type="dxa"/>
          </w:tcPr>
          <w:p>
            <w:pPr>
              <w:jc w:val="center"/>
              <w:rPr>
                <w:rFonts w:ascii="方正仿宋_GBK" w:hAnsi="宋体" w:eastAsia="方正仿宋_GBK"/>
                <w:sz w:val="21"/>
                <w:szCs w:val="21"/>
              </w:rPr>
            </w:pPr>
          </w:p>
        </w:tc>
        <w:tc>
          <w:tcPr>
            <w:tcW w:w="1235"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10</w:t>
            </w:r>
          </w:p>
        </w:tc>
        <w:tc>
          <w:tcPr>
            <w:tcW w:w="1557"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其他费用</w:t>
            </w:r>
          </w:p>
        </w:tc>
        <w:tc>
          <w:tcPr>
            <w:tcW w:w="3127" w:type="dxa"/>
          </w:tcPr>
          <w:p>
            <w:pPr>
              <w:jc w:val="center"/>
              <w:rPr>
                <w:rFonts w:ascii="方正仿宋_GBK" w:hAnsi="宋体" w:eastAsia="方正仿宋_GBK"/>
                <w:sz w:val="21"/>
                <w:szCs w:val="21"/>
              </w:rPr>
            </w:pPr>
          </w:p>
        </w:tc>
        <w:tc>
          <w:tcPr>
            <w:tcW w:w="1235"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11</w:t>
            </w:r>
          </w:p>
        </w:tc>
        <w:tc>
          <w:tcPr>
            <w:tcW w:w="1557"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3127" w:type="dxa"/>
          </w:tcPr>
          <w:p>
            <w:pPr>
              <w:jc w:val="center"/>
              <w:rPr>
                <w:rFonts w:ascii="方正仿宋_GBK" w:hAnsi="宋体" w:eastAsia="方正仿宋_GBK"/>
                <w:sz w:val="21"/>
                <w:szCs w:val="21"/>
              </w:rPr>
            </w:pPr>
          </w:p>
        </w:tc>
        <w:tc>
          <w:tcPr>
            <w:tcW w:w="1235"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12</w:t>
            </w:r>
          </w:p>
        </w:tc>
        <w:tc>
          <w:tcPr>
            <w:tcW w:w="1557"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总计</w:t>
            </w:r>
          </w:p>
        </w:tc>
        <w:tc>
          <w:tcPr>
            <w:tcW w:w="6832" w:type="dxa"/>
            <w:gridSpan w:val="4"/>
          </w:tcPr>
          <w:p>
            <w:pPr>
              <w:rPr>
                <w:rFonts w:ascii="方正仿宋_GBK" w:hAnsi="宋体" w:eastAsia="方正仿宋_GBK"/>
                <w:sz w:val="21"/>
                <w:szCs w:val="21"/>
              </w:rPr>
            </w:pPr>
          </w:p>
        </w:tc>
      </w:tr>
    </w:tbl>
    <w:p>
      <w:pPr>
        <w:snapToGrid w:val="0"/>
        <w:spacing w:line="500" w:lineRule="exact"/>
        <w:ind w:firstLine="480" w:firstLineChars="200"/>
        <w:rPr>
          <w:rFonts w:ascii="方正仿宋_GBK" w:hAnsi="宋体" w:eastAsia="方正仿宋_GBK"/>
          <w:sz w:val="24"/>
          <w:szCs w:val="28"/>
        </w:rPr>
      </w:pPr>
    </w:p>
    <w:p>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注：1.供应商应完整填写本表。</w:t>
      </w:r>
    </w:p>
    <w:p>
      <w:pPr>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2.该表可扩展。</w:t>
      </w:r>
    </w:p>
    <w:p>
      <w:pPr>
        <w:pStyle w:val="11"/>
        <w:spacing w:line="360" w:lineRule="auto"/>
        <w:rPr>
          <w:rFonts w:ascii="方正仿宋_GBK" w:hAnsi="宋体" w:eastAsia="方正仿宋_GBK"/>
          <w:sz w:val="24"/>
          <w:szCs w:val="24"/>
        </w:rPr>
      </w:pPr>
    </w:p>
    <w:p>
      <w:pPr>
        <w:pStyle w:val="11"/>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w:t>
      </w:r>
    </w:p>
    <w:p/>
    <w:p/>
    <w:p>
      <w:pPr>
        <w:spacing w:line="360" w:lineRule="auto"/>
      </w:pPr>
      <w:r>
        <w:rPr>
          <w:rFonts w:hint="eastAsia" w:ascii="方正仿宋_GBK" w:hAnsi="宋体" w:eastAsia="方正仿宋_GBK"/>
          <w:sz w:val="24"/>
          <w:szCs w:val="24"/>
        </w:rPr>
        <w:t xml:space="preserve">                                             供应商名称（公章）或自然人签署：</w:t>
      </w:r>
    </w:p>
    <w:p>
      <w:pPr>
        <w:spacing w:line="360" w:lineRule="auto"/>
        <w:ind w:right="480" w:firstLine="6480" w:firstLineChars="2700"/>
        <w:rPr>
          <w:rFonts w:ascii="方正仿宋_GBK" w:hAnsi="宋体" w:eastAsia="方正仿宋_GBK"/>
          <w:sz w:val="24"/>
          <w:szCs w:val="24"/>
        </w:rPr>
      </w:pPr>
      <w:r>
        <w:rPr>
          <w:rFonts w:hint="eastAsia" w:ascii="方正仿宋_GBK" w:hAnsi="宋体" w:eastAsia="方正仿宋_GBK"/>
          <w:sz w:val="24"/>
          <w:szCs w:val="24"/>
        </w:rPr>
        <w:t>年     月    日</w:t>
      </w:r>
    </w:p>
    <w:p>
      <w:pPr>
        <w:snapToGrid w:val="0"/>
        <w:spacing w:line="360" w:lineRule="auto"/>
        <w:ind w:firstLine="480" w:firstLineChars="200"/>
        <w:rPr>
          <w:rFonts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3"/>
        <w:adjustRightInd w:val="0"/>
        <w:snapToGrid w:val="0"/>
        <w:spacing w:line="400" w:lineRule="exact"/>
        <w:ind w:left="560" w:firstLine="482" w:firstLineChars="200"/>
        <w:rPr>
          <w:rFonts w:ascii="方正仿宋_GBK" w:eastAsia="方正仿宋_GBK"/>
          <w:sz w:val="24"/>
        </w:rPr>
      </w:pPr>
      <w:bookmarkStart w:id="204" w:name="_Toc313008357"/>
      <w:bookmarkStart w:id="205" w:name="_Toc65660380"/>
      <w:bookmarkStart w:id="206" w:name="_Toc313888361"/>
      <w:bookmarkStart w:id="207" w:name="_Toc14073"/>
      <w:bookmarkStart w:id="208" w:name="_Toc26085"/>
      <w:bookmarkStart w:id="209" w:name="_Toc106034809"/>
      <w:bookmarkStart w:id="210" w:name="_Toc342913420"/>
      <w:bookmarkStart w:id="211" w:name="_Toc22655"/>
      <w:r>
        <w:rPr>
          <w:rFonts w:hint="eastAsia" w:ascii="方正仿宋_GBK" w:eastAsia="方正仿宋_GBK"/>
          <w:sz w:val="24"/>
        </w:rPr>
        <w:t>二、技术（质量）部分</w:t>
      </w:r>
      <w:bookmarkEnd w:id="204"/>
      <w:bookmarkEnd w:id="205"/>
      <w:bookmarkEnd w:id="206"/>
      <w:bookmarkEnd w:id="207"/>
      <w:bookmarkEnd w:id="208"/>
      <w:bookmarkEnd w:id="209"/>
      <w:bookmarkEnd w:id="210"/>
      <w:bookmarkEnd w:id="211"/>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（一）技术（质量）响应偏离表                               </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jc w:val="center"/>
              <w:outlineLvl w:val="0"/>
              <w:rPr>
                <w:rFonts w:ascii="方正仿宋_GBK" w:hAnsi="宋体" w:eastAsia="方正仿宋_GBK"/>
                <w:b/>
                <w:sz w:val="21"/>
                <w:szCs w:val="21"/>
              </w:rPr>
            </w:pPr>
            <w:r>
              <w:rPr>
                <w:rFonts w:hint="eastAsia" w:ascii="方正仿宋_GBK" w:hAnsi="宋体" w:eastAsia="方正仿宋_GBK"/>
                <w:b/>
                <w:sz w:val="21"/>
                <w:szCs w:val="21"/>
              </w:rPr>
              <w:t>序号</w:t>
            </w:r>
          </w:p>
        </w:tc>
        <w:tc>
          <w:tcPr>
            <w:tcW w:w="2844" w:type="dxa"/>
            <w:vAlign w:val="center"/>
          </w:tcPr>
          <w:p>
            <w:pPr>
              <w:tabs>
                <w:tab w:val="left" w:pos="6300"/>
              </w:tabs>
              <w:snapToGrid w:val="0"/>
              <w:jc w:val="center"/>
              <w:outlineLvl w:val="0"/>
              <w:rPr>
                <w:rFonts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vAlign w:val="center"/>
          </w:tcPr>
          <w:p>
            <w:pPr>
              <w:tabs>
                <w:tab w:val="left" w:pos="6300"/>
              </w:tabs>
              <w:snapToGrid w:val="0"/>
              <w:jc w:val="center"/>
              <w:outlineLvl w:val="0"/>
              <w:rPr>
                <w:rFonts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vAlign w:val="center"/>
          </w:tcPr>
          <w:p>
            <w:pPr>
              <w:tabs>
                <w:tab w:val="left" w:pos="6300"/>
              </w:tabs>
              <w:snapToGrid w:val="0"/>
              <w:jc w:val="center"/>
              <w:outlineLvl w:val="0"/>
              <w:rPr>
                <w:rFonts w:ascii="方正仿宋_GBK" w:hAnsi="宋体" w:eastAsia="方正仿宋_GBK"/>
                <w:b/>
                <w:sz w:val="21"/>
                <w:szCs w:val="21"/>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r>
              <w:rPr>
                <w:rFonts w:hint="eastAsia" w:ascii="方正仿宋_GBK" w:hAnsi="仿宋" w:eastAsia="方正仿宋_GBK"/>
                <w:sz w:val="21"/>
                <w:szCs w:val="21"/>
              </w:rPr>
              <w:t>提醒：请注明技术参数或具体内容以及响应文件中技术参数或具体内容的位置（页码）</w:t>
            </w:r>
          </w:p>
        </w:tc>
        <w:tc>
          <w:tcPr>
            <w:tcW w:w="2212" w:type="dxa"/>
            <w:vAlign w:val="center"/>
          </w:tcPr>
          <w:p>
            <w:pPr>
              <w:tabs>
                <w:tab w:val="left" w:pos="6300"/>
              </w:tabs>
              <w:snapToGrid w:val="0"/>
              <w:jc w:val="center"/>
              <w:outlineLvl w:val="0"/>
              <w:rPr>
                <w:rFonts w:ascii="方正仿宋_GBK" w:hAnsi="宋体" w:eastAsia="方正仿宋_GBK"/>
                <w:sz w:val="21"/>
                <w:szCs w:val="21"/>
              </w:rPr>
            </w:pPr>
            <w:r>
              <w:rPr>
                <w:rFonts w:hint="eastAsia" w:ascii="方正仿宋_GBK" w:hAnsi="仿宋" w:eastAsia="方正仿宋_GBK"/>
                <w:sz w:val="21"/>
                <w:szCs w:val="21"/>
              </w:rPr>
              <w:t>提醒：请注明响应情况与采购需求的差异情况：正偏离、负偏离或者无差异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p>
        </w:tc>
        <w:tc>
          <w:tcPr>
            <w:tcW w:w="2212" w:type="dxa"/>
            <w:vAlign w:val="center"/>
          </w:tcPr>
          <w:p>
            <w:pPr>
              <w:tabs>
                <w:tab w:val="left" w:pos="6300"/>
              </w:tabs>
              <w:snapToGrid w:val="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p>
        </w:tc>
        <w:tc>
          <w:tcPr>
            <w:tcW w:w="2212" w:type="dxa"/>
            <w:vAlign w:val="center"/>
          </w:tcPr>
          <w:p>
            <w:pPr>
              <w:tabs>
                <w:tab w:val="left" w:pos="6300"/>
              </w:tabs>
              <w:snapToGrid w:val="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p>
        </w:tc>
        <w:tc>
          <w:tcPr>
            <w:tcW w:w="2212" w:type="dxa"/>
            <w:vAlign w:val="center"/>
          </w:tcPr>
          <w:p>
            <w:pPr>
              <w:tabs>
                <w:tab w:val="left" w:pos="6300"/>
              </w:tabs>
              <w:snapToGrid w:val="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p>
        </w:tc>
        <w:tc>
          <w:tcPr>
            <w:tcW w:w="2212" w:type="dxa"/>
            <w:vAlign w:val="center"/>
          </w:tcPr>
          <w:p>
            <w:pPr>
              <w:tabs>
                <w:tab w:val="left" w:pos="6300"/>
              </w:tabs>
              <w:snapToGrid w:val="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p>
        </w:tc>
        <w:tc>
          <w:tcPr>
            <w:tcW w:w="2212" w:type="dxa"/>
            <w:vAlign w:val="center"/>
          </w:tcPr>
          <w:p>
            <w:pPr>
              <w:tabs>
                <w:tab w:val="left" w:pos="6300"/>
              </w:tabs>
              <w:snapToGrid w:val="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p>
        </w:tc>
        <w:tc>
          <w:tcPr>
            <w:tcW w:w="2212" w:type="dxa"/>
            <w:vAlign w:val="center"/>
          </w:tcPr>
          <w:p>
            <w:pPr>
              <w:tabs>
                <w:tab w:val="left" w:pos="6300"/>
              </w:tabs>
              <w:snapToGrid w:val="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p>
        </w:tc>
        <w:tc>
          <w:tcPr>
            <w:tcW w:w="2212" w:type="dxa"/>
            <w:vAlign w:val="center"/>
          </w:tcPr>
          <w:p>
            <w:pPr>
              <w:tabs>
                <w:tab w:val="left" w:pos="6300"/>
              </w:tabs>
              <w:snapToGrid w:val="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p>
        </w:tc>
        <w:tc>
          <w:tcPr>
            <w:tcW w:w="2212" w:type="dxa"/>
            <w:vAlign w:val="center"/>
          </w:tcPr>
          <w:p>
            <w:pPr>
              <w:tabs>
                <w:tab w:val="left" w:pos="6300"/>
              </w:tabs>
              <w:snapToGrid w:val="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p>
        </w:tc>
        <w:tc>
          <w:tcPr>
            <w:tcW w:w="2212" w:type="dxa"/>
            <w:vAlign w:val="center"/>
          </w:tcPr>
          <w:p>
            <w:pPr>
              <w:tabs>
                <w:tab w:val="left" w:pos="6300"/>
              </w:tabs>
              <w:snapToGrid w:val="0"/>
              <w:jc w:val="center"/>
              <w:outlineLvl w:val="0"/>
              <w:rPr>
                <w:rFonts w:ascii="方正仿宋_GBK" w:hAnsi="宋体" w:eastAsia="方正仿宋_GBK"/>
                <w:sz w:val="21"/>
                <w:szCs w:val="21"/>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项目技术（质量）需求”中所列条款进行比较和响应；</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2.本表可扩展。</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br w:type="page"/>
      </w:r>
      <w:r>
        <w:rPr>
          <w:rFonts w:hint="eastAsia" w:ascii="方正仿宋_GBK" w:hAnsi="宋体" w:eastAsia="方正仿宋_GBK"/>
          <w:sz w:val="24"/>
          <w:szCs w:val="24"/>
        </w:rPr>
        <w:t>（二）其他资料（格式自定）</w:t>
      </w:r>
    </w:p>
    <w:p>
      <w:pPr>
        <w:tabs>
          <w:tab w:val="left" w:pos="6300"/>
        </w:tabs>
        <w:snapToGrid w:val="0"/>
        <w:spacing w:line="500" w:lineRule="exact"/>
        <w:ind w:firstLine="480" w:firstLineChars="200"/>
        <w:rPr>
          <w:rFonts w:ascii="方正仿宋_GBK" w:hAnsi="宋体" w:eastAsia="方正仿宋_GBK"/>
          <w:sz w:val="24"/>
          <w:szCs w:val="24"/>
        </w:rPr>
      </w:pPr>
    </w:p>
    <w:p>
      <w:pPr>
        <w:pStyle w:val="3"/>
        <w:adjustRightInd w:val="0"/>
        <w:snapToGrid w:val="0"/>
        <w:spacing w:line="400" w:lineRule="exact"/>
        <w:ind w:left="560" w:firstLine="640" w:firstLineChars="200"/>
        <w:rPr>
          <w:rFonts w:ascii="方正仿宋_GBK" w:eastAsia="方正仿宋_GBK"/>
          <w:sz w:val="24"/>
        </w:rPr>
      </w:pPr>
      <w:r>
        <w:rPr>
          <w:rFonts w:ascii="方正仿宋_GBK" w:eastAsia="方正仿宋_GBK"/>
          <w:b w:val="0"/>
        </w:rPr>
        <w:br w:type="page"/>
      </w:r>
      <w:bookmarkStart w:id="212" w:name="_Toc65660381"/>
      <w:bookmarkStart w:id="213" w:name="_Toc32339"/>
      <w:bookmarkStart w:id="214" w:name="_Toc32158"/>
      <w:bookmarkStart w:id="215" w:name="_Toc27717"/>
      <w:bookmarkStart w:id="216" w:name="_Toc106034810"/>
      <w:bookmarkStart w:id="217" w:name="_Toc313008358"/>
      <w:bookmarkStart w:id="218" w:name="_Toc313888362"/>
      <w:bookmarkStart w:id="219" w:name="_Toc342913421"/>
      <w:r>
        <w:rPr>
          <w:rFonts w:hint="eastAsia" w:ascii="方正仿宋_GBK" w:eastAsia="方正仿宋_GBK"/>
          <w:sz w:val="24"/>
        </w:rPr>
        <w:t>三、商务服务部分</w:t>
      </w:r>
      <w:bookmarkEnd w:id="212"/>
      <w:bookmarkEnd w:id="213"/>
      <w:bookmarkEnd w:id="214"/>
      <w:bookmarkEnd w:id="215"/>
      <w:bookmarkEnd w:id="216"/>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（一）商务服务响应偏离表                              </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pPr>
              <w:tabs>
                <w:tab w:val="left" w:pos="6300"/>
              </w:tabs>
              <w:snapToGrid w:val="0"/>
              <w:jc w:val="center"/>
              <w:outlineLvl w:val="0"/>
              <w:rPr>
                <w:rFonts w:ascii="方正仿宋_GBK" w:hAnsi="宋体" w:eastAsia="方正仿宋_GBK"/>
                <w:b/>
                <w:sz w:val="21"/>
                <w:szCs w:val="24"/>
              </w:rPr>
            </w:pPr>
            <w:r>
              <w:rPr>
                <w:rFonts w:hint="eastAsia" w:ascii="方正仿宋_GBK" w:hAnsi="宋体" w:eastAsia="方正仿宋_GBK"/>
                <w:b/>
                <w:sz w:val="21"/>
                <w:szCs w:val="24"/>
              </w:rPr>
              <w:t>序号</w:t>
            </w:r>
          </w:p>
        </w:tc>
        <w:tc>
          <w:tcPr>
            <w:tcW w:w="3184" w:type="dxa"/>
            <w:vAlign w:val="center"/>
          </w:tcPr>
          <w:p>
            <w:pPr>
              <w:tabs>
                <w:tab w:val="left" w:pos="6300"/>
              </w:tabs>
              <w:snapToGrid w:val="0"/>
              <w:jc w:val="center"/>
              <w:outlineLvl w:val="0"/>
              <w:rPr>
                <w:rFonts w:ascii="方正仿宋_GBK" w:hAnsi="宋体" w:eastAsia="方正仿宋_GBK"/>
                <w:b/>
                <w:sz w:val="21"/>
                <w:szCs w:val="24"/>
              </w:rPr>
            </w:pPr>
            <w:r>
              <w:rPr>
                <w:rFonts w:hint="eastAsia" w:ascii="方正仿宋_GBK" w:hAnsi="宋体" w:eastAsia="方正仿宋_GBK"/>
                <w:b/>
                <w:sz w:val="21"/>
                <w:szCs w:val="24"/>
              </w:rPr>
              <w:t>项目商务需求</w:t>
            </w:r>
          </w:p>
        </w:tc>
        <w:tc>
          <w:tcPr>
            <w:tcW w:w="2438" w:type="dxa"/>
            <w:vAlign w:val="center"/>
          </w:tcPr>
          <w:p>
            <w:pPr>
              <w:tabs>
                <w:tab w:val="left" w:pos="6300"/>
              </w:tabs>
              <w:snapToGrid w:val="0"/>
              <w:jc w:val="center"/>
              <w:outlineLvl w:val="0"/>
              <w:rPr>
                <w:rFonts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vAlign w:val="center"/>
          </w:tcPr>
          <w:p>
            <w:pPr>
              <w:tabs>
                <w:tab w:val="left" w:pos="6300"/>
              </w:tabs>
              <w:snapToGrid w:val="0"/>
              <w:jc w:val="center"/>
              <w:outlineLvl w:val="0"/>
              <w:rPr>
                <w:rFonts w:ascii="方正仿宋_GBK" w:hAnsi="宋体" w:eastAsia="方正仿宋_GBK"/>
                <w:b/>
                <w:sz w:val="21"/>
                <w:szCs w:val="24"/>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sz w:val="21"/>
                <w:szCs w:val="24"/>
              </w:rPr>
            </w:pPr>
          </w:p>
        </w:tc>
        <w:tc>
          <w:tcPr>
            <w:tcW w:w="3184" w:type="dxa"/>
            <w:vAlign w:val="center"/>
          </w:tcPr>
          <w:p>
            <w:pPr>
              <w:tabs>
                <w:tab w:val="left" w:pos="6300"/>
              </w:tabs>
              <w:snapToGrid w:val="0"/>
              <w:jc w:val="center"/>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vAlign w:val="center"/>
          </w:tcPr>
          <w:p>
            <w:pPr>
              <w:tabs>
                <w:tab w:val="left" w:pos="6300"/>
              </w:tabs>
              <w:snapToGrid w:val="0"/>
              <w:jc w:val="center"/>
              <w:outlineLvl w:val="0"/>
              <w:rPr>
                <w:rFonts w:ascii="方正仿宋_GBK" w:hAnsi="宋体" w:eastAsia="方正仿宋_GBK"/>
                <w:sz w:val="21"/>
                <w:szCs w:val="24"/>
              </w:rPr>
            </w:pPr>
            <w:r>
              <w:rPr>
                <w:rFonts w:hint="eastAsia" w:ascii="方正仿宋_GBK" w:hAnsi="仿宋" w:eastAsia="方正仿宋_GBK"/>
                <w:sz w:val="21"/>
                <w:szCs w:val="21"/>
              </w:rPr>
              <w:t>提醒：请注明响应情况与商务需求的差异情况：正偏离、负偏离或者无差异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sz w:val="21"/>
                <w:szCs w:val="24"/>
              </w:rPr>
            </w:pPr>
          </w:p>
        </w:tc>
        <w:tc>
          <w:tcPr>
            <w:tcW w:w="3184" w:type="dxa"/>
            <w:vAlign w:val="center"/>
          </w:tcPr>
          <w:p>
            <w:pPr>
              <w:tabs>
                <w:tab w:val="left" w:pos="6300"/>
              </w:tabs>
              <w:snapToGrid w:val="0"/>
              <w:jc w:val="center"/>
              <w:outlineLvl w:val="0"/>
              <w:rPr>
                <w:rFonts w:ascii="方正仿宋_GBK" w:hAnsi="宋体" w:eastAsia="方正仿宋_GBK"/>
                <w:sz w:val="21"/>
                <w:szCs w:val="24"/>
              </w:rPr>
            </w:pPr>
          </w:p>
        </w:tc>
        <w:tc>
          <w:tcPr>
            <w:tcW w:w="2438" w:type="dxa"/>
            <w:vAlign w:val="center"/>
          </w:tcPr>
          <w:p>
            <w:pPr>
              <w:tabs>
                <w:tab w:val="left" w:pos="6300"/>
              </w:tabs>
              <w:snapToGrid w:val="0"/>
              <w:jc w:val="center"/>
              <w:outlineLvl w:val="0"/>
              <w:rPr>
                <w:rFonts w:ascii="方正仿宋_GBK" w:hAnsi="宋体" w:eastAsia="方正仿宋_GBK"/>
                <w:sz w:val="21"/>
                <w:szCs w:val="24"/>
              </w:rPr>
            </w:pPr>
          </w:p>
        </w:tc>
        <w:tc>
          <w:tcPr>
            <w:tcW w:w="2359" w:type="dxa"/>
            <w:vAlign w:val="center"/>
          </w:tcPr>
          <w:p>
            <w:pPr>
              <w:tabs>
                <w:tab w:val="left" w:pos="6300"/>
              </w:tabs>
              <w:snapToGrid w:val="0"/>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sz w:val="21"/>
                <w:szCs w:val="24"/>
              </w:rPr>
            </w:pPr>
          </w:p>
        </w:tc>
        <w:tc>
          <w:tcPr>
            <w:tcW w:w="3184" w:type="dxa"/>
            <w:vAlign w:val="center"/>
          </w:tcPr>
          <w:p>
            <w:pPr>
              <w:tabs>
                <w:tab w:val="left" w:pos="6300"/>
              </w:tabs>
              <w:snapToGrid w:val="0"/>
              <w:jc w:val="center"/>
              <w:outlineLvl w:val="0"/>
              <w:rPr>
                <w:rFonts w:ascii="方正仿宋_GBK" w:hAnsi="宋体" w:eastAsia="方正仿宋_GBK"/>
                <w:sz w:val="21"/>
                <w:szCs w:val="24"/>
              </w:rPr>
            </w:pPr>
          </w:p>
        </w:tc>
        <w:tc>
          <w:tcPr>
            <w:tcW w:w="2438" w:type="dxa"/>
            <w:vAlign w:val="center"/>
          </w:tcPr>
          <w:p>
            <w:pPr>
              <w:tabs>
                <w:tab w:val="left" w:pos="6300"/>
              </w:tabs>
              <w:snapToGrid w:val="0"/>
              <w:jc w:val="center"/>
              <w:outlineLvl w:val="0"/>
              <w:rPr>
                <w:rFonts w:ascii="方正仿宋_GBK" w:hAnsi="宋体" w:eastAsia="方正仿宋_GBK"/>
                <w:sz w:val="21"/>
                <w:szCs w:val="24"/>
              </w:rPr>
            </w:pPr>
          </w:p>
        </w:tc>
        <w:tc>
          <w:tcPr>
            <w:tcW w:w="2359" w:type="dxa"/>
            <w:vAlign w:val="center"/>
          </w:tcPr>
          <w:p>
            <w:pPr>
              <w:tabs>
                <w:tab w:val="left" w:pos="6300"/>
              </w:tabs>
              <w:snapToGrid w:val="0"/>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sz w:val="21"/>
                <w:szCs w:val="24"/>
              </w:rPr>
            </w:pPr>
          </w:p>
        </w:tc>
        <w:tc>
          <w:tcPr>
            <w:tcW w:w="3184" w:type="dxa"/>
            <w:vAlign w:val="center"/>
          </w:tcPr>
          <w:p>
            <w:pPr>
              <w:tabs>
                <w:tab w:val="left" w:pos="6300"/>
              </w:tabs>
              <w:snapToGrid w:val="0"/>
              <w:jc w:val="center"/>
              <w:outlineLvl w:val="0"/>
              <w:rPr>
                <w:rFonts w:ascii="方正仿宋_GBK" w:hAnsi="宋体" w:eastAsia="方正仿宋_GBK"/>
                <w:sz w:val="21"/>
                <w:szCs w:val="24"/>
              </w:rPr>
            </w:pPr>
          </w:p>
        </w:tc>
        <w:tc>
          <w:tcPr>
            <w:tcW w:w="2438" w:type="dxa"/>
            <w:vAlign w:val="center"/>
          </w:tcPr>
          <w:p>
            <w:pPr>
              <w:tabs>
                <w:tab w:val="left" w:pos="6300"/>
              </w:tabs>
              <w:snapToGrid w:val="0"/>
              <w:jc w:val="center"/>
              <w:outlineLvl w:val="0"/>
              <w:rPr>
                <w:rFonts w:ascii="方正仿宋_GBK" w:hAnsi="宋体" w:eastAsia="方正仿宋_GBK"/>
                <w:sz w:val="21"/>
                <w:szCs w:val="24"/>
              </w:rPr>
            </w:pPr>
          </w:p>
        </w:tc>
        <w:tc>
          <w:tcPr>
            <w:tcW w:w="2359" w:type="dxa"/>
            <w:vAlign w:val="center"/>
          </w:tcPr>
          <w:p>
            <w:pPr>
              <w:tabs>
                <w:tab w:val="left" w:pos="6300"/>
              </w:tabs>
              <w:snapToGrid w:val="0"/>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sz w:val="21"/>
                <w:szCs w:val="24"/>
              </w:rPr>
            </w:pPr>
          </w:p>
        </w:tc>
        <w:tc>
          <w:tcPr>
            <w:tcW w:w="3184" w:type="dxa"/>
            <w:vAlign w:val="center"/>
          </w:tcPr>
          <w:p>
            <w:pPr>
              <w:tabs>
                <w:tab w:val="left" w:pos="6300"/>
              </w:tabs>
              <w:snapToGrid w:val="0"/>
              <w:jc w:val="center"/>
              <w:outlineLvl w:val="0"/>
              <w:rPr>
                <w:rFonts w:ascii="方正仿宋_GBK" w:hAnsi="宋体" w:eastAsia="方正仿宋_GBK"/>
                <w:sz w:val="21"/>
                <w:szCs w:val="24"/>
              </w:rPr>
            </w:pPr>
          </w:p>
        </w:tc>
        <w:tc>
          <w:tcPr>
            <w:tcW w:w="2438" w:type="dxa"/>
            <w:vAlign w:val="center"/>
          </w:tcPr>
          <w:p>
            <w:pPr>
              <w:tabs>
                <w:tab w:val="left" w:pos="6300"/>
              </w:tabs>
              <w:snapToGrid w:val="0"/>
              <w:jc w:val="center"/>
              <w:outlineLvl w:val="0"/>
              <w:rPr>
                <w:rFonts w:ascii="方正仿宋_GBK" w:hAnsi="宋体" w:eastAsia="方正仿宋_GBK"/>
                <w:sz w:val="21"/>
                <w:szCs w:val="24"/>
              </w:rPr>
            </w:pPr>
          </w:p>
        </w:tc>
        <w:tc>
          <w:tcPr>
            <w:tcW w:w="2359" w:type="dxa"/>
            <w:vAlign w:val="center"/>
          </w:tcPr>
          <w:p>
            <w:pPr>
              <w:tabs>
                <w:tab w:val="left" w:pos="6300"/>
              </w:tabs>
              <w:snapToGrid w:val="0"/>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sz w:val="21"/>
                <w:szCs w:val="24"/>
              </w:rPr>
            </w:pPr>
          </w:p>
        </w:tc>
        <w:tc>
          <w:tcPr>
            <w:tcW w:w="3184" w:type="dxa"/>
            <w:vAlign w:val="center"/>
          </w:tcPr>
          <w:p>
            <w:pPr>
              <w:tabs>
                <w:tab w:val="left" w:pos="6300"/>
              </w:tabs>
              <w:snapToGrid w:val="0"/>
              <w:jc w:val="center"/>
              <w:outlineLvl w:val="0"/>
              <w:rPr>
                <w:rFonts w:ascii="方正仿宋_GBK" w:hAnsi="宋体" w:eastAsia="方正仿宋_GBK"/>
                <w:sz w:val="21"/>
                <w:szCs w:val="24"/>
              </w:rPr>
            </w:pPr>
          </w:p>
        </w:tc>
        <w:tc>
          <w:tcPr>
            <w:tcW w:w="2438" w:type="dxa"/>
            <w:vAlign w:val="center"/>
          </w:tcPr>
          <w:p>
            <w:pPr>
              <w:tabs>
                <w:tab w:val="left" w:pos="6300"/>
              </w:tabs>
              <w:snapToGrid w:val="0"/>
              <w:jc w:val="center"/>
              <w:outlineLvl w:val="0"/>
              <w:rPr>
                <w:rFonts w:ascii="方正仿宋_GBK" w:hAnsi="宋体" w:eastAsia="方正仿宋_GBK"/>
                <w:sz w:val="21"/>
                <w:szCs w:val="24"/>
              </w:rPr>
            </w:pPr>
          </w:p>
        </w:tc>
        <w:tc>
          <w:tcPr>
            <w:tcW w:w="2359" w:type="dxa"/>
            <w:vAlign w:val="center"/>
          </w:tcPr>
          <w:p>
            <w:pPr>
              <w:tabs>
                <w:tab w:val="left" w:pos="6300"/>
              </w:tabs>
              <w:snapToGrid w:val="0"/>
              <w:jc w:val="center"/>
              <w:outlineLvl w:val="0"/>
              <w:rPr>
                <w:rFonts w:ascii="方正仿宋_GBK" w:hAnsi="宋体" w:eastAsia="方正仿宋_GBK"/>
                <w:sz w:val="21"/>
                <w:szCs w:val="24"/>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本表即为对本项目“第三篇  项目商务需求”中所列条款进行比较和响应；</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rPr>
        <w:t>2.本表可扩展</w:t>
      </w:r>
      <w:r>
        <w:rPr>
          <w:rFonts w:hint="eastAsia" w:ascii="方正仿宋_GBK" w:hAnsi="宋体" w:eastAsia="方正仿宋_GBK"/>
          <w:sz w:val="24"/>
          <w:szCs w:val="24"/>
        </w:rPr>
        <w:t>。</w:t>
      </w:r>
    </w:p>
    <w:p>
      <w:pPr>
        <w:tabs>
          <w:tab w:val="left" w:pos="6300"/>
        </w:tabs>
        <w:snapToGrid w:val="0"/>
        <w:spacing w:line="480" w:lineRule="exact"/>
        <w:ind w:firstLine="480" w:firstLineChars="200"/>
        <w:rPr>
          <w:rFonts w:ascii="方正仿宋_GBK" w:hAnsi="宋体" w:eastAsia="方正仿宋_GBK"/>
          <w:sz w:val="24"/>
          <w:szCs w:val="24"/>
        </w:rPr>
      </w:pP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sz w:val="24"/>
          <w:szCs w:val="24"/>
        </w:rPr>
        <w:t>（二）其它优惠服务承诺（格式自定）</w:t>
      </w:r>
    </w:p>
    <w:p>
      <w:pPr>
        <w:tabs>
          <w:tab w:val="left" w:pos="6300"/>
        </w:tabs>
        <w:snapToGrid w:val="0"/>
        <w:spacing w:line="480" w:lineRule="exact"/>
        <w:ind w:firstLine="480" w:firstLineChars="200"/>
        <w:rPr>
          <w:rFonts w:ascii="方正仿宋_GBK" w:hAnsi="宋体" w:eastAsia="方正仿宋_GBK"/>
          <w:sz w:val="24"/>
          <w:szCs w:val="24"/>
        </w:rPr>
      </w:pPr>
    </w:p>
    <w:p>
      <w:pPr>
        <w:pStyle w:val="3"/>
        <w:adjustRightInd w:val="0"/>
        <w:snapToGrid w:val="0"/>
        <w:spacing w:line="400" w:lineRule="exact"/>
        <w:ind w:left="560" w:firstLine="482" w:firstLineChars="200"/>
        <w:rPr>
          <w:rFonts w:ascii="方正仿宋_GBK" w:eastAsia="方正仿宋_GBK"/>
          <w:sz w:val="24"/>
        </w:rPr>
      </w:pPr>
      <w:r>
        <w:rPr>
          <w:rFonts w:ascii="方正仿宋_GBK" w:eastAsia="方正仿宋_GBK"/>
          <w:sz w:val="24"/>
          <w:szCs w:val="24"/>
        </w:rPr>
        <w:br w:type="page"/>
      </w:r>
      <w:bookmarkStart w:id="220" w:name="_Toc2082"/>
      <w:bookmarkStart w:id="221" w:name="_Toc65660382"/>
      <w:bookmarkStart w:id="222" w:name="_Toc20162"/>
      <w:bookmarkStart w:id="223" w:name="_Toc21793"/>
      <w:bookmarkStart w:id="224" w:name="_Toc106034811"/>
      <w:r>
        <w:rPr>
          <w:rFonts w:hint="eastAsia" w:ascii="方正仿宋_GBK" w:eastAsia="方正仿宋_GBK"/>
          <w:sz w:val="24"/>
        </w:rPr>
        <w:t>四、</w:t>
      </w:r>
      <w:bookmarkEnd w:id="217"/>
      <w:bookmarkEnd w:id="218"/>
      <w:bookmarkEnd w:id="219"/>
      <w:r>
        <w:rPr>
          <w:rFonts w:hint="eastAsia" w:ascii="方正仿宋_GBK" w:eastAsia="方正仿宋_GBK"/>
          <w:sz w:val="24"/>
        </w:rPr>
        <w:t>资格条件及其他</w:t>
      </w:r>
      <w:bookmarkEnd w:id="220"/>
      <w:bookmarkEnd w:id="221"/>
      <w:bookmarkEnd w:id="222"/>
      <w:bookmarkEnd w:id="223"/>
      <w:bookmarkEnd w:id="224"/>
      <w:bookmarkStart w:id="225" w:name="_Toc313888363"/>
      <w:bookmarkStart w:id="226" w:name="_Toc342913422"/>
      <w:bookmarkStart w:id="227" w:name="_Toc313008359"/>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ascii="方正仿宋_GBK" w:hAnsi="宋体" w:eastAsia="方正仿宋_GBK"/>
          <w:sz w:val="24"/>
          <w:szCs w:val="24"/>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widowControl/>
        <w:spacing w:line="400" w:lineRule="exact"/>
        <w:ind w:firstLine="560" w:firstLineChars="200"/>
        <w:jc w:val="lef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rPr>
        <w:t>）：</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tabs>
          <w:tab w:val="left" w:pos="6300"/>
        </w:tabs>
        <w:snapToGrid w:val="0"/>
        <w:spacing w:line="500" w:lineRule="exact"/>
        <w:ind w:firstLine="570"/>
        <w:rPr>
          <w:rFonts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widowControl/>
        <w:spacing w:line="400" w:lineRule="exact"/>
        <w:ind w:firstLine="560" w:firstLineChars="200"/>
        <w:jc w:val="left"/>
        <w:rPr>
          <w:rFonts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rPr>
        <w:t>）：</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（签署或盖章）                                （签署或盖章）</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注：1.若为法定代表人办理并签署响应文件的，不提供此文件。</w:t>
      </w:r>
    </w:p>
    <w:p>
      <w:pPr>
        <w:tabs>
          <w:tab w:val="left" w:pos="6300"/>
        </w:tabs>
        <w:snapToGrid w:val="0"/>
        <w:spacing w:line="400" w:lineRule="exact"/>
        <w:ind w:firstLine="573"/>
        <w:rPr>
          <w:rFonts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widowControl/>
        <w:spacing w:line="400" w:lineRule="exact"/>
        <w:ind w:firstLine="560" w:firstLineChars="200"/>
        <w:jc w:val="left"/>
        <w:rPr>
          <w:rFonts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（采购人或采购代理机构名称）：</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我方对以上承诺负全部法律责任。</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特此承诺。</w:t>
      </w:r>
    </w:p>
    <w:p>
      <w:pPr>
        <w:tabs>
          <w:tab w:val="left" w:pos="6300"/>
        </w:tabs>
        <w:snapToGrid w:val="0"/>
        <w:spacing w:line="500" w:lineRule="exact"/>
        <w:ind w:firstLine="480" w:firstLineChars="200"/>
        <w:rPr>
          <w:rFonts w:ascii="方正仿宋_GBK" w:hAnsi="仿宋" w:eastAsia="方正仿宋_GBK"/>
          <w:sz w:val="24"/>
        </w:rPr>
      </w:pPr>
    </w:p>
    <w:p>
      <w:pPr>
        <w:tabs>
          <w:tab w:val="left" w:pos="6300"/>
        </w:tabs>
        <w:snapToGrid w:val="0"/>
        <w:spacing w:line="500" w:lineRule="exact"/>
        <w:ind w:firstLine="480" w:firstLineChars="200"/>
        <w:jc w:val="right"/>
        <w:rPr>
          <w:rFonts w:ascii="方正仿宋_GBK" w:hAnsi="仿宋" w:eastAsia="方正仿宋_GBK"/>
          <w:sz w:val="24"/>
        </w:rPr>
      </w:pPr>
      <w:r>
        <w:rPr>
          <w:rFonts w:hint="eastAsia" w:ascii="方正仿宋_GBK" w:hAnsi="仿宋" w:eastAsia="方正仿宋_GBK"/>
          <w:sz w:val="24"/>
        </w:rPr>
        <w:t>（供应商公章）</w:t>
      </w:r>
    </w:p>
    <w:p>
      <w:pPr>
        <w:widowControl/>
        <w:spacing w:line="400" w:lineRule="exact"/>
        <w:jc w:val="right"/>
        <w:rPr>
          <w:rFonts w:ascii="方正仿宋_GBK" w:hAnsi="宋体" w:eastAsia="方正仿宋_GBK"/>
          <w:sz w:val="24"/>
          <w:szCs w:val="24"/>
        </w:rPr>
      </w:pPr>
      <w:r>
        <w:rPr>
          <w:rFonts w:hint="eastAsia" w:ascii="方正仿宋_GBK" w:hAnsi="仿宋" w:eastAsia="方正仿宋_GBK"/>
          <w:sz w:val="24"/>
        </w:rPr>
        <w:t>年   月   日</w:t>
      </w:r>
    </w:p>
    <w:p>
      <w:pPr>
        <w:widowControl/>
        <w:spacing w:line="400" w:lineRule="exact"/>
        <w:ind w:firstLine="560" w:firstLineChars="200"/>
        <w:jc w:val="lef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（五）特定资格条件证书或证明文件</w:t>
      </w:r>
    </w:p>
    <w:p>
      <w:pPr>
        <w:widowControl/>
        <w:spacing w:line="400" w:lineRule="exact"/>
        <w:ind w:firstLine="480" w:firstLineChars="200"/>
        <w:jc w:val="left"/>
        <w:rPr>
          <w:rFonts w:ascii="方正仿宋_GBK" w:hAnsi="宋体" w:eastAsia="方正仿宋_GBK"/>
          <w:sz w:val="24"/>
          <w:szCs w:val="24"/>
        </w:rPr>
      </w:pPr>
    </w:p>
    <w:p>
      <w:pPr>
        <w:pStyle w:val="3"/>
        <w:adjustRightInd w:val="0"/>
        <w:snapToGrid w:val="0"/>
        <w:spacing w:line="400" w:lineRule="exact"/>
        <w:ind w:left="560" w:firstLine="482" w:firstLineChars="200"/>
        <w:rPr>
          <w:rFonts w:ascii="方正仿宋_GBK" w:eastAsia="方正仿宋_GBK"/>
          <w:sz w:val="24"/>
        </w:rPr>
      </w:pPr>
      <w:r>
        <w:rPr>
          <w:rFonts w:ascii="方正仿宋_GBK" w:eastAsia="方正仿宋_GBK"/>
          <w:sz w:val="24"/>
          <w:szCs w:val="24"/>
        </w:rPr>
        <w:br w:type="page"/>
      </w:r>
      <w:bookmarkStart w:id="228" w:name="_Toc2080"/>
      <w:bookmarkStart w:id="229" w:name="_Toc65660383"/>
      <w:bookmarkStart w:id="230" w:name="_Toc15815"/>
      <w:bookmarkStart w:id="231" w:name="_Toc17010"/>
      <w:bookmarkStart w:id="232" w:name="_Toc106034812"/>
      <w:r>
        <w:rPr>
          <w:rFonts w:hint="eastAsia" w:ascii="方正仿宋_GBK" w:eastAsia="方正仿宋_GBK"/>
          <w:sz w:val="24"/>
        </w:rPr>
        <w:t>五、</w:t>
      </w:r>
      <w:bookmarkEnd w:id="225"/>
      <w:bookmarkEnd w:id="226"/>
      <w:bookmarkEnd w:id="227"/>
      <w:r>
        <w:rPr>
          <w:rFonts w:hint="eastAsia" w:ascii="方正仿宋_GBK" w:eastAsia="方正仿宋_GBK"/>
          <w:sz w:val="24"/>
        </w:rPr>
        <w:t>其他资料</w:t>
      </w:r>
      <w:bookmarkEnd w:id="228"/>
      <w:bookmarkEnd w:id="229"/>
      <w:bookmarkEnd w:id="230"/>
      <w:bookmarkEnd w:id="231"/>
      <w:bookmarkEnd w:id="232"/>
    </w:p>
    <w:p>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（一）联合体协议或分包意向协议（格式自定）</w:t>
      </w:r>
    </w:p>
    <w:p>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（二）其他与项目有关的资料（自附）</w:t>
      </w:r>
    </w:p>
    <w:p>
      <w:pPr>
        <w:spacing w:line="360" w:lineRule="auto"/>
        <w:ind w:firstLine="480" w:firstLineChars="200"/>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jc w:val="center"/>
      </w:pPr>
      <w:r>
        <w:rPr>
          <w:rFonts w:hint="eastAsia" w:ascii="方正仿宋_GBK" w:hAnsi="仿宋" w:eastAsia="方正仿宋_GBK"/>
        </w:rPr>
        <w:t>（结束）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jc w:val="center"/>
      <w:rPr>
        <w:rStyle w:val="14"/>
        <w:rFonts w:ascii="宋体"/>
        <w:sz w:val="21"/>
        <w:szCs w:val="21"/>
      </w:rPr>
    </w:pPr>
    <w:r>
      <w:rPr>
        <w:rFonts w:ascii="宋体"/>
        <w:sz w:val="21"/>
        <w:szCs w:val="21"/>
      </w:rPr>
      <w:fldChar w:fldCharType="begin"/>
    </w:r>
    <w:r>
      <w:rPr>
        <w:rStyle w:val="14"/>
        <w:rFonts w:ascii="宋体"/>
        <w:sz w:val="21"/>
        <w:szCs w:val="21"/>
      </w:rPr>
      <w:instrText xml:space="preserve">PAGE  </w:instrText>
    </w:r>
    <w:r>
      <w:rPr>
        <w:rFonts w:ascii="宋体"/>
        <w:sz w:val="21"/>
        <w:szCs w:val="21"/>
      </w:rPr>
      <w:fldChar w:fldCharType="separate"/>
    </w:r>
    <w:r>
      <w:rPr>
        <w:rStyle w:val="14"/>
        <w:rFonts w:ascii="宋体"/>
        <w:sz w:val="21"/>
        <w:szCs w:val="21"/>
      </w:rPr>
      <w:t>- 2 -</w:t>
    </w:r>
    <w:r>
      <w:rPr>
        <w:rFonts w:ascii="宋体"/>
        <w:sz w:val="21"/>
        <w:szCs w:val="21"/>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p>
  <w:p>
    <w:pPr>
      <w:pStyle w:val="9"/>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1"/>
        <w:szCs w:val="21"/>
      </w:rPr>
    </w:pPr>
    <w:r>
      <w:rPr>
        <w:rFonts w:ascii="宋体" w:hAnsi="宋体"/>
        <w:sz w:val="21"/>
        <w:szCs w:val="21"/>
      </w:rPr>
      <w:fldChar w:fldCharType="begin"/>
    </w:r>
    <w:r>
      <w:rPr>
        <w:rStyle w:val="14"/>
        <w:rFonts w:ascii="宋体" w:hAnsi="宋体"/>
        <w:sz w:val="21"/>
        <w:szCs w:val="21"/>
      </w:rPr>
      <w:instrText xml:space="preserve"> PAGE </w:instrText>
    </w:r>
    <w:r>
      <w:rPr>
        <w:rFonts w:ascii="宋体" w:hAnsi="宋体"/>
        <w:sz w:val="21"/>
        <w:szCs w:val="21"/>
      </w:rPr>
      <w:fldChar w:fldCharType="separate"/>
    </w:r>
    <w:r>
      <w:rPr>
        <w:rStyle w:val="14"/>
        <w:rFonts w:ascii="宋体" w:hAnsi="宋体"/>
        <w:sz w:val="21"/>
        <w:szCs w:val="21"/>
      </w:rPr>
      <w:t>- 15 -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Y5ZTY1MDBhNjIxMzFiNTYzZjhkNTFjYmJhOWNlNWMifQ=="/>
  </w:docVars>
  <w:rsids>
    <w:rsidRoot w:val="24682C82"/>
    <w:rsid w:val="008A4653"/>
    <w:rsid w:val="00B64893"/>
    <w:rsid w:val="00C139F6"/>
    <w:rsid w:val="00EA3A6B"/>
    <w:rsid w:val="081841C4"/>
    <w:rsid w:val="088A7F5F"/>
    <w:rsid w:val="08CF3F56"/>
    <w:rsid w:val="0A3F005D"/>
    <w:rsid w:val="0E9514D8"/>
    <w:rsid w:val="117308F6"/>
    <w:rsid w:val="13B43E61"/>
    <w:rsid w:val="14885C9A"/>
    <w:rsid w:val="14FC21B1"/>
    <w:rsid w:val="15603909"/>
    <w:rsid w:val="17080833"/>
    <w:rsid w:val="17A005A2"/>
    <w:rsid w:val="1A017D03"/>
    <w:rsid w:val="1C532EB7"/>
    <w:rsid w:val="1CB7425F"/>
    <w:rsid w:val="20181CA2"/>
    <w:rsid w:val="24682C82"/>
    <w:rsid w:val="24B85B6F"/>
    <w:rsid w:val="2C123E59"/>
    <w:rsid w:val="2D727090"/>
    <w:rsid w:val="2E4E1359"/>
    <w:rsid w:val="36EA4528"/>
    <w:rsid w:val="374F1448"/>
    <w:rsid w:val="375640C2"/>
    <w:rsid w:val="3AC33B95"/>
    <w:rsid w:val="41212D57"/>
    <w:rsid w:val="455F6943"/>
    <w:rsid w:val="4D2A4283"/>
    <w:rsid w:val="4D312973"/>
    <w:rsid w:val="501200DF"/>
    <w:rsid w:val="503F314A"/>
    <w:rsid w:val="55FD5DE3"/>
    <w:rsid w:val="564246F8"/>
    <w:rsid w:val="5711620F"/>
    <w:rsid w:val="5964313D"/>
    <w:rsid w:val="5DFB17BA"/>
    <w:rsid w:val="5ECA3D86"/>
    <w:rsid w:val="666268A6"/>
    <w:rsid w:val="6E5F102F"/>
    <w:rsid w:val="735D2FC3"/>
    <w:rsid w:val="73B4430C"/>
    <w:rsid w:val="761D249E"/>
    <w:rsid w:val="7B4C246F"/>
    <w:rsid w:val="7E9669B5"/>
    <w:rsid w:val="7EA90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19"/>
    <w:qFormat/>
    <w:uiPriority w:val="0"/>
    <w:pPr>
      <w:spacing w:before="100" w:beforeAutospacing="1" w:after="100" w:afterAutospacing="1"/>
      <w:outlineLvl w:val="0"/>
    </w:pPr>
    <w:rPr>
      <w:rFonts w:ascii="宋体" w:hAnsi="宋体" w:eastAsia="方正小标宋_GBK"/>
      <w:b/>
      <w:kern w:val="36"/>
      <w:sz w:val="44"/>
      <w:szCs w:val="21"/>
    </w:rPr>
  </w:style>
  <w:style w:type="paragraph" w:styleId="3">
    <w:name w:val="heading 2"/>
    <w:basedOn w:val="1"/>
    <w:next w:val="1"/>
    <w:link w:val="15"/>
    <w:semiHidden/>
    <w:unhideWhenUsed/>
    <w:qFormat/>
    <w:uiPriority w:val="0"/>
    <w:pPr>
      <w:ind w:left="200" w:leftChars="200"/>
      <w:outlineLvl w:val="1"/>
    </w:pPr>
    <w:rPr>
      <w:rFonts w:ascii="宋体" w:hAnsi="宋体" w:eastAsia="方正黑体_GBK" w:cstheme="minorBidi"/>
      <w:b/>
      <w:sz w:val="32"/>
      <w:szCs w:val="21"/>
    </w:rPr>
  </w:style>
  <w:style w:type="paragraph" w:styleId="4">
    <w:name w:val="heading 3"/>
    <w:basedOn w:val="1"/>
    <w:next w:val="1"/>
    <w:link w:val="16"/>
    <w:semiHidden/>
    <w:unhideWhenUsed/>
    <w:qFormat/>
    <w:uiPriority w:val="0"/>
    <w:pPr>
      <w:keepNext/>
      <w:keepLines/>
      <w:outlineLvl w:val="2"/>
    </w:pPr>
    <w:rPr>
      <w:rFonts w:eastAsia="方正楷体_GBK"/>
      <w:b/>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qFormat/>
    <w:uiPriority w:val="0"/>
    <w:pPr>
      <w:spacing w:line="700" w:lineRule="exact"/>
      <w:ind w:left="960"/>
    </w:pPr>
    <w:rPr>
      <w:sz w:val="44"/>
    </w:rPr>
  </w:style>
  <w:style w:type="paragraph" w:styleId="6">
    <w:name w:val="Plain Text"/>
    <w:basedOn w:val="1"/>
    <w:qFormat/>
    <w:uiPriority w:val="0"/>
    <w:rPr>
      <w:rFonts w:ascii="宋体" w:hAnsi="Courier New"/>
      <w:sz w:val="21"/>
    </w:rPr>
  </w:style>
  <w:style w:type="paragraph" w:styleId="7">
    <w:name w:val="Date"/>
    <w:basedOn w:val="1"/>
    <w:next w:val="1"/>
    <w:qFormat/>
    <w:uiPriority w:val="0"/>
  </w:style>
  <w:style w:type="paragraph" w:styleId="8">
    <w:name w:val="Body Text Indent 2"/>
    <w:basedOn w:val="1"/>
    <w:qFormat/>
    <w:uiPriority w:val="0"/>
    <w:pPr>
      <w:snapToGrid w:val="0"/>
      <w:spacing w:line="560" w:lineRule="atLeast"/>
      <w:ind w:firstLine="54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toc 1"/>
    <w:basedOn w:val="1"/>
    <w:next w:val="1"/>
    <w:qFormat/>
    <w:uiPriority w:val="0"/>
    <w:pPr>
      <w:spacing w:line="180" w:lineRule="auto"/>
      <w:jc w:val="center"/>
    </w:pPr>
    <w:rPr>
      <w:sz w:val="30"/>
    </w:rPr>
  </w:style>
  <w:style w:type="character" w:styleId="14">
    <w:name w:val="page number"/>
    <w:qFormat/>
    <w:uiPriority w:val="0"/>
  </w:style>
  <w:style w:type="character" w:customStyle="1" w:styleId="15">
    <w:name w:val="标题 2 Char"/>
    <w:link w:val="3"/>
    <w:qFormat/>
    <w:uiPriority w:val="0"/>
    <w:rPr>
      <w:rFonts w:ascii="宋体" w:hAnsi="宋体" w:eastAsia="方正黑体_GBK" w:cstheme="minorBidi"/>
    </w:rPr>
  </w:style>
  <w:style w:type="character" w:customStyle="1" w:styleId="16">
    <w:name w:val="标题 3 Char"/>
    <w:link w:val="4"/>
    <w:qFormat/>
    <w:uiPriority w:val="0"/>
    <w:rPr>
      <w:rFonts w:eastAsia="方正楷体_GBK"/>
      <w:b/>
      <w:sz w:val="32"/>
    </w:rPr>
  </w:style>
  <w:style w:type="paragraph" w:customStyle="1" w:styleId="17">
    <w:name w:val="公文-正文"/>
    <w:basedOn w:val="1"/>
    <w:qFormat/>
    <w:uiPriority w:val="0"/>
    <w:pPr>
      <w:ind w:firstLine="883" w:firstLineChars="200"/>
    </w:pPr>
    <w:rPr>
      <w:rFonts w:hint="eastAsia" w:ascii="Calibri" w:hAnsi="Calibri" w:eastAsia="方正仿宋_GBK"/>
      <w:sz w:val="32"/>
    </w:rPr>
  </w:style>
  <w:style w:type="paragraph" w:customStyle="1" w:styleId="18">
    <w:name w:val="公文-作者"/>
    <w:basedOn w:val="1"/>
    <w:next w:val="1"/>
    <w:qFormat/>
    <w:uiPriority w:val="0"/>
    <w:pPr>
      <w:keepNext/>
      <w:keepLines/>
      <w:spacing w:line="570" w:lineRule="exact"/>
      <w:jc w:val="center"/>
      <w:outlineLvl w:val="0"/>
    </w:pPr>
    <w:rPr>
      <w:rFonts w:hint="eastAsia" w:ascii="Calibri" w:hAnsi="Calibri" w:eastAsia="方正楷体_GBK"/>
      <w:b/>
      <w:kern w:val="44"/>
      <w:sz w:val="32"/>
      <w:szCs w:val="24"/>
    </w:rPr>
  </w:style>
  <w:style w:type="character" w:customStyle="1" w:styleId="19">
    <w:name w:val="标题 1 Char"/>
    <w:link w:val="2"/>
    <w:qFormat/>
    <w:uiPriority w:val="0"/>
    <w:rPr>
      <w:rFonts w:ascii="宋体" w:hAnsi="宋体" w:eastAsia="方正小标宋_GBK"/>
      <w:b/>
      <w:kern w:val="36"/>
      <w:sz w:val="44"/>
      <w:szCs w:val="21"/>
      <w:lang w:val="en-US" w:eastAsia="zh-CN" w:bidi="ar-SA"/>
    </w:rPr>
  </w:style>
  <w:style w:type="character" w:customStyle="1" w:styleId="20">
    <w:name w:val="无"/>
    <w:qFormat/>
    <w:uiPriority w:val="0"/>
  </w:style>
  <w:style w:type="paragraph" w:customStyle="1" w:styleId="21">
    <w:name w:val="1"/>
    <w:basedOn w:val="1"/>
    <w:next w:val="6"/>
    <w:qFormat/>
    <w:uiPriority w:val="0"/>
    <w:rPr>
      <w:rFonts w:ascii="宋体" w:hAnsi="Courier New"/>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29</Pages>
  <Words>1867</Words>
  <Characters>10645</Characters>
  <Lines>88</Lines>
  <Paragraphs>24</Paragraphs>
  <TotalTime>712</TotalTime>
  <ScaleCrop>false</ScaleCrop>
  <LinksUpToDate>false</LinksUpToDate>
  <CharactersWithSpaces>12488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2023-10-13T02:48:00Z</dcterms:created>
  <dc:creator>李真</dc:creator>
  <cp:lastModifiedBy>李真</cp:lastModifiedBy>
  <dcterms:modified xsi:type="dcterms:W3CDTF">2023-11-20T03:17:14Z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9AEB5F65E7EB4BB0BB07F2148CF8E67C_11</vt:lpwstr>
  </property>
</Properties>
</file>